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framework-premium-v1.0"/>
    <w:p>
      <w:pPr>
        <w:pStyle w:val="Heading1"/>
      </w:pPr>
      <w:r>
        <w:t xml:space="preserve">Framework Premium v1.0</w:t>
      </w:r>
    </w:p>
    <w:p>
      <w:pPr>
        <w:pStyle w:val="FirstParagraph"/>
      </w:pPr>
      <w:r>
        <w:rPr>
          <w:b/>
          <w:bCs/>
        </w:rPr>
        <w:t xml:space="preserve">JS Potência &amp; Performance — Documento Oficial de Marca, Produto Digital e Ecossistema</w:t>
      </w:r>
    </w:p>
    <w:p>
      <w:pPr>
        <w:pStyle w:val="BodyText"/>
      </w:pPr>
      <w:r>
        <w:t xml:space="preserve">Documento oficial da marca JS Potência &amp; Performance. Define identidade, posicionamento, sistema de design, arquitetura de website, textos finais, experiência de utilizador, agente de inteligência artificial e roadmap de evolução. Todas as decisões apresentadas são decisões tomadas, não opções em aberto.</w:t>
      </w:r>
    </w:p>
    <w:p>
      <w:pPr>
        <w:pStyle w:val="BodyText"/>
      </w:pPr>
      <w:r>
        <w:rPr>
          <w:i/>
          <w:iCs/>
        </w:rPr>
        <w:t xml:space="preserve">Versão 1.0 · Agosto de 2026 · Corroios, Seixal</w:t>
      </w:r>
    </w:p>
    <w:bookmarkEnd w:id="9"/>
    <w:bookmarkStart w:id="14" w:name="sumário-executivo-e-visão"/>
    <w:p>
      <w:pPr>
        <w:pStyle w:val="Heading1"/>
      </w:pPr>
      <w:r>
        <w:t xml:space="preserve">01. Sumário executivo e visão</w:t>
      </w:r>
    </w:p>
    <w:p>
      <w:pPr>
        <w:pStyle w:val="FirstParagraph"/>
      </w:pPr>
      <w:r>
        <w:t xml:space="preserve">A JS Potência &amp; Performance é uma empresa de eletrónica automóvel e performance sediada em Corroios, Seixal. Opera num setor onde a maioria dos concorrentes comunica através de preço, ruído visual e promessas de potência sem contexto técnico. Este documento define o oposto: uma marca de engenharia, construída sobre precisão, prova e clareza.</w:t>
      </w:r>
    </w:p>
    <w:bookmarkStart w:id="10" w:name="visão"/>
    <w:p>
      <w:pPr>
        <w:pStyle w:val="Heading2"/>
      </w:pPr>
      <w:r>
        <w:t xml:space="preserve">Visão</w:t>
      </w:r>
    </w:p>
    <w:p>
      <w:pPr>
        <w:pStyle w:val="FirstParagraph"/>
      </w:pPr>
      <w:r>
        <w:t xml:space="preserve">Ser a referência da margem sul de Lisboa em eletrónica automóvel avançada — a empresa a quem outras oficinas ligam quando não conseguem resolver.</w:t>
      </w:r>
    </w:p>
    <w:bookmarkEnd w:id="10"/>
    <w:bookmarkStart w:id="11" w:name="missão"/>
    <w:p>
      <w:pPr>
        <w:pStyle w:val="Heading2"/>
      </w:pPr>
      <w:r>
        <w:t xml:space="preserve">Missão</w:t>
      </w:r>
    </w:p>
    <w:p>
      <w:pPr>
        <w:pStyle w:val="FirstParagraph"/>
      </w:pPr>
      <w:r>
        <w:t xml:space="preserve">Resolver problemas eletrónicos que outros não resolvem e extrair desempenho real das viaturas dos nossos clientes, com equipamento original, método documentado e explicação clara.</w:t>
      </w:r>
    </w:p>
    <w:bookmarkEnd w:id="11"/>
    <w:bookmarkStart w:id="12" w:name="objetivos-do-ecossistema-digital"/>
    <w:p>
      <w:pPr>
        <w:pStyle w:val="Heading2"/>
      </w:pPr>
      <w:r>
        <w:t xml:space="preserve">Objetivos do ecossistema digital</w:t>
      </w:r>
    </w:p>
    <w:p>
      <w:pPr>
        <w:pStyle w:val="Compact"/>
        <w:numPr>
          <w:ilvl w:val="0"/>
          <w:numId w:val="1001"/>
        </w:numPr>
      </w:pPr>
      <w:r>
        <w:t xml:space="preserve">Posicionar a marca como premium técnica, retirando o preço da conversa inicial.</w:t>
      </w:r>
    </w:p>
    <w:p>
      <w:pPr>
        <w:pStyle w:val="Compact"/>
        <w:numPr>
          <w:ilvl w:val="0"/>
          <w:numId w:val="1001"/>
        </w:numPr>
      </w:pPr>
      <w:r>
        <w:t xml:space="preserve">Converter visitantes em pedidos de orçamento qualificados, com dados suficientes para responder com precisão.</w:t>
      </w:r>
    </w:p>
    <w:p>
      <w:pPr>
        <w:pStyle w:val="Compact"/>
        <w:numPr>
          <w:ilvl w:val="0"/>
          <w:numId w:val="1001"/>
        </w:numPr>
      </w:pPr>
      <w:r>
        <w:t xml:space="preserve">Captar tráfego local de pesquisa (Seixal, Almada, Setúbal, Grande Lisboa) para termos de alta intenção.</w:t>
      </w:r>
    </w:p>
    <w:p>
      <w:pPr>
        <w:pStyle w:val="Compact"/>
        <w:numPr>
          <w:ilvl w:val="0"/>
          <w:numId w:val="1001"/>
        </w:numPr>
      </w:pPr>
      <w:r>
        <w:t xml:space="preserve">Servir simultaneamente o cliente particular e o cliente profissional, sem diluir a mensagem.</w:t>
      </w:r>
    </w:p>
    <w:p>
      <w:pPr>
        <w:pStyle w:val="Compact"/>
        <w:numPr>
          <w:ilvl w:val="0"/>
          <w:numId w:val="1001"/>
        </w:numPr>
      </w:pPr>
      <w:r>
        <w:t xml:space="preserve">Preparar a operação para automação de atendimento através de agente de IA e WhatsApp.</w:t>
      </w:r>
    </w:p>
    <w:bookmarkEnd w:id="12"/>
    <w:bookmarkStart w:id="13" w:name="indicadores-de-sucesso-12-meses"/>
    <w:p>
      <w:pPr>
        <w:pStyle w:val="Heading2"/>
      </w:pPr>
      <w:r>
        <w:t xml:space="preserve">Indicadores de sucesso (12 meses)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Indicador</w:t>
            </w:r>
          </w:p>
        </w:tc>
        <w:tc>
          <w:tcPr/>
          <w:p>
            <w:pPr>
              <w:pStyle w:val="Compact"/>
            </w:pPr>
            <w:r>
              <w:t xml:space="preserve">Meta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Taxa de conversão visitante → pedido de orçamento</w:t>
            </w:r>
          </w:p>
        </w:tc>
        <w:tc>
          <w:tcPr/>
          <w:p>
            <w:pPr>
              <w:pStyle w:val="Compact"/>
            </w:pPr>
            <w:r>
              <w:t xml:space="preserve">≥ 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Pedidos de orçamento com dados completos</w:t>
            </w:r>
          </w:p>
        </w:tc>
        <w:tc>
          <w:tcPr/>
          <w:p>
            <w:pPr>
              <w:pStyle w:val="Compact"/>
            </w:pPr>
            <w:r>
              <w:t xml:space="preserve">≥ 85%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Posição média em</w:t>
            </w:r>
            <w:r>
              <w:t xml:space="preserve"> </w:t>
            </w:r>
            <w:r>
              <w:t xml:space="preserve">“reprogramação ECU Seixal”</w:t>
            </w:r>
          </w:p>
        </w:tc>
        <w:tc>
          <w:tcPr/>
          <w:p>
            <w:pPr>
              <w:pStyle w:val="Compact"/>
            </w:pPr>
            <w:r>
              <w:t xml:space="preserve">Top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Pedidos provenientes de profissionais do setor</w:t>
            </w:r>
          </w:p>
        </w:tc>
        <w:tc>
          <w:tcPr/>
          <w:p>
            <w:pPr>
              <w:pStyle w:val="Compact"/>
            </w:pPr>
            <w:r>
              <w:t xml:space="preserve">≥ 25% do total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Tempo médio até primeira resposta</w:t>
            </w:r>
          </w:p>
        </w:tc>
        <w:tc>
          <w:tcPr/>
          <w:p>
            <w:pPr>
              <w:pStyle w:val="Compact"/>
            </w:pPr>
            <w:r>
              <w:t xml:space="preserve">&lt; 4 horas úteis</w:t>
            </w:r>
          </w:p>
        </w:tc>
      </w:tr>
    </w:tbl>
    <w:bookmarkEnd w:id="13"/>
    <w:bookmarkEnd w:id="14"/>
    <w:bookmarkStart w:id="22" w:name="identidade-da-marca"/>
    <w:p>
      <w:pPr>
        <w:pStyle w:val="Heading1"/>
      </w:pPr>
      <w:r>
        <w:t xml:space="preserve">02. Identidade da marca</w:t>
      </w:r>
    </w:p>
    <w:bookmarkStart w:id="15" w:name="essência"/>
    <w:p>
      <w:pPr>
        <w:pStyle w:val="Heading2"/>
      </w:pPr>
      <w:r>
        <w:t xml:space="preserve">Essência</w:t>
      </w:r>
    </w:p>
    <w:p>
      <w:pPr>
        <w:pStyle w:val="BlockText"/>
      </w:pPr>
      <w:r>
        <w:t xml:space="preserve">Engenharia eletrónica automóvel. Precisão que outros não alcançam.</w:t>
      </w:r>
    </w:p>
    <w:p>
      <w:pPr>
        <w:pStyle w:val="FirstParagraph"/>
      </w:pPr>
      <w:r>
        <w:t xml:space="preserve">A essência da marca não é potência. É domínio técnico. A potência é uma consequência do domínio, e não o argumento de venda.</w:t>
      </w:r>
    </w:p>
    <w:bookmarkEnd w:id="15"/>
    <w:bookmarkStart w:id="16" w:name="arquétipo"/>
    <w:p>
      <w:pPr>
        <w:pStyle w:val="Heading2"/>
      </w:pPr>
      <w:r>
        <w:t xml:space="preserve">Arquétipo</w:t>
      </w:r>
    </w:p>
    <w:p>
      <w:pPr>
        <w:pStyle w:val="FirstParagraph"/>
      </w:pPr>
      <w:r>
        <w:t xml:space="preserve">O Sábio Artesão. Combina o conhecimento profundo do especialista com o rigor manual de quem trabalha ao componente. Não é o Herói (que promete transformação espetacular) nem o Rebelde (que promete transgressão). É quem sabe, mostra e explica.</w:t>
      </w:r>
    </w:p>
    <w:bookmarkEnd w:id="16"/>
    <w:bookmarkStart w:id="17" w:name="valores"/>
    <w:p>
      <w:pPr>
        <w:pStyle w:val="Heading2"/>
      </w:pPr>
      <w:r>
        <w:t xml:space="preserve">Valores</w:t>
      </w:r>
    </w:p>
    <w:p>
      <w:pPr>
        <w:pStyle w:val="FirstParagraph"/>
      </w:pPr>
      <w:r>
        <w:rPr>
          <w:b/>
          <w:bCs/>
        </w:rPr>
        <w:t xml:space="preserve">Precisão</w:t>
      </w:r>
      <w:r>
        <w:t xml:space="preserve"> </w:t>
      </w:r>
      <w:r>
        <w:t xml:space="preserve">— Cada intervenção assenta em leitura, medição e validação. Nunca em suposição.</w:t>
      </w:r>
    </w:p>
    <w:p>
      <w:pPr>
        <w:pStyle w:val="BodyText"/>
      </w:pPr>
      <w:r>
        <w:rPr>
          <w:b/>
          <w:bCs/>
        </w:rPr>
        <w:t xml:space="preserve">Reversibilidade</w:t>
      </w:r>
      <w:r>
        <w:t xml:space="preserve"> </w:t>
      </w:r>
      <w:r>
        <w:t xml:space="preserve">— O estado original da viatura é sempre preservado e devolvível.</w:t>
      </w:r>
    </w:p>
    <w:p>
      <w:pPr>
        <w:pStyle w:val="BodyText"/>
      </w:pPr>
      <w:r>
        <w:rPr>
          <w:b/>
          <w:bCs/>
        </w:rPr>
        <w:t xml:space="preserve">Honestidade técnica</w:t>
      </w:r>
      <w:r>
        <w:t xml:space="preserve"> </w:t>
      </w:r>
      <w:r>
        <w:t xml:space="preserve">— Dizemos quando não se justifica. Recusar trabalho é parte do serviço.</w:t>
      </w:r>
    </w:p>
    <w:p>
      <w:pPr>
        <w:pStyle w:val="BodyText"/>
      </w:pPr>
      <w:r>
        <w:rPr>
          <w:b/>
          <w:bCs/>
        </w:rPr>
        <w:t xml:space="preserve">Clareza</w:t>
      </w:r>
      <w:r>
        <w:t xml:space="preserve"> </w:t>
      </w:r>
      <w:r>
        <w:t xml:space="preserve">— O cliente sai a perceber o que foi feito. Sem jargão vazio, sem mistério.</w:t>
      </w:r>
    </w:p>
    <w:p>
      <w:pPr>
        <w:pStyle w:val="BodyText"/>
      </w:pPr>
      <w:r>
        <w:rPr>
          <w:b/>
          <w:bCs/>
        </w:rPr>
        <w:t xml:space="preserve">Responsabilidade</w:t>
      </w:r>
      <w:r>
        <w:t xml:space="preserve"> </w:t>
      </w:r>
      <w:r>
        <w:t xml:space="preserve">— Assumimos o que fazemos e acompanhamos depois da entrega.</w:t>
      </w:r>
    </w:p>
    <w:bookmarkEnd w:id="17"/>
    <w:bookmarkStart w:id="18" w:name="promessa-de-marca"/>
    <w:p>
      <w:pPr>
        <w:pStyle w:val="Heading2"/>
      </w:pPr>
      <w:r>
        <w:t xml:space="preserve">Promessa de marca</w:t>
      </w:r>
    </w:p>
    <w:p>
      <w:pPr>
        <w:pStyle w:val="FirstParagraph"/>
      </w:pPr>
      <w:r>
        <w:t xml:space="preserve">Trazemos a sua viatura ao seu melhor estado eletrónico e de desempenho possível — com prova documentada e sem comprometer a fiabilidade.</w:t>
      </w:r>
    </w:p>
    <w:bookmarkEnd w:id="18"/>
    <w:bookmarkStart w:id="19" w:name="assinatura-verbal"/>
    <w:p>
      <w:pPr>
        <w:pStyle w:val="Heading2"/>
      </w:pPr>
      <w:r>
        <w:t xml:space="preserve">Assinatura verbal</w:t>
      </w:r>
    </w:p>
    <w:p>
      <w:pPr>
        <w:pStyle w:val="Compact"/>
        <w:numPr>
          <w:ilvl w:val="0"/>
          <w:numId w:val="1002"/>
        </w:numPr>
      </w:pPr>
      <w:r>
        <w:t xml:space="preserve">Principal:</w:t>
      </w:r>
      <w:r>
        <w:t xml:space="preserve"> </w:t>
      </w:r>
      <w:r>
        <w:t xml:space="preserve">“Precisão que outros não alcançam.”</w:t>
      </w:r>
    </w:p>
    <w:p>
      <w:pPr>
        <w:pStyle w:val="Compact"/>
        <w:numPr>
          <w:ilvl w:val="0"/>
          <w:numId w:val="1002"/>
        </w:numPr>
      </w:pPr>
      <w:r>
        <w:t xml:space="preserve">Secundária (serviço):</w:t>
      </w:r>
      <w:r>
        <w:t xml:space="preserve"> </w:t>
      </w:r>
      <w:r>
        <w:t xml:space="preserve">“Ler. Medir. Calibrar. Provar.”</w:t>
      </w:r>
    </w:p>
    <w:p>
      <w:pPr>
        <w:pStyle w:val="Compact"/>
        <w:numPr>
          <w:ilvl w:val="0"/>
          <w:numId w:val="1002"/>
        </w:numPr>
      </w:pPr>
      <w:r>
        <w:t xml:space="preserve">Fecho institucional:</w:t>
      </w:r>
      <w:r>
        <w:t xml:space="preserve"> </w:t>
      </w:r>
      <w:r>
        <w:t xml:space="preserve">“JS Potência &amp; Performance — eletrónica automóvel, Seixal.”</w:t>
      </w:r>
    </w:p>
    <w:bookmarkEnd w:id="19"/>
    <w:bookmarkStart w:id="20" w:name="naming-e-escrita-da-marca"/>
    <w:p>
      <w:pPr>
        <w:pStyle w:val="Heading2"/>
      </w:pPr>
      <w:r>
        <w:t xml:space="preserve">Naming e escrita da marca</w:t>
      </w:r>
    </w:p>
    <w:p>
      <w:pPr>
        <w:pStyle w:val="Compact"/>
        <w:numPr>
          <w:ilvl w:val="0"/>
          <w:numId w:val="1003"/>
        </w:numPr>
      </w:pPr>
      <w:r>
        <w:t xml:space="preserve">Forma completa: JS Potência &amp; Performance. Usar sempre no primeiro contacto de cada página e em contexto legal.</w:t>
      </w:r>
    </w:p>
    <w:p>
      <w:pPr>
        <w:pStyle w:val="Compact"/>
        <w:numPr>
          <w:ilvl w:val="0"/>
          <w:numId w:val="1003"/>
        </w:numPr>
      </w:pPr>
      <w:r>
        <w:t xml:space="preserve">Forma curta: JS Potência. Usar em navegação, rodapé secundário e conversação.</w:t>
      </w:r>
    </w:p>
    <w:p>
      <w:pPr>
        <w:pStyle w:val="Compact"/>
        <w:numPr>
          <w:ilvl w:val="0"/>
          <w:numId w:val="1003"/>
        </w:numPr>
      </w:pPr>
      <w:r>
        <w:t xml:space="preserve">Nunca escrever: JS Potencia (sem acento), JS Performance, JSP, JS Tuning.</w:t>
      </w:r>
    </w:p>
    <w:p>
      <w:pPr>
        <w:pStyle w:val="Compact"/>
        <w:numPr>
          <w:ilvl w:val="0"/>
          <w:numId w:val="1003"/>
        </w:numPr>
      </w:pPr>
      <w:r>
        <w:t xml:space="preserve">O símbolo &amp; mantém-se sempre; não substituir por</w:t>
      </w:r>
      <w:r>
        <w:t xml:space="preserve"> </w:t>
      </w:r>
      <w:r>
        <w:t xml:space="preserve">“e”</w:t>
      </w:r>
      <w:r>
        <w:t xml:space="preserve">.</w:t>
      </w:r>
    </w:p>
    <w:bookmarkEnd w:id="20"/>
    <w:bookmarkStart w:id="21" w:name="marca-gráfica"/>
    <w:p>
      <w:pPr>
        <w:pStyle w:val="Heading2"/>
      </w:pPr>
      <w:r>
        <w:t xml:space="preserve">Marca gráfica</w:t>
      </w:r>
    </w:p>
    <w:p>
      <w:pPr>
        <w:pStyle w:val="FirstParagraph"/>
      </w:pPr>
      <w:r>
        <w:t xml:space="preserve">Monograma</w:t>
      </w:r>
      <w:r>
        <w:t xml:space="preserve"> </w:t>
      </w:r>
      <w:r>
        <w:t xml:space="preserve">“JS”</w:t>
      </w:r>
      <w:r>
        <w:t xml:space="preserve"> </w:t>
      </w:r>
      <w:r>
        <w:t xml:space="preserve">em tipografia condensada, com um traço horizontal âmbar a atravessar a base — referência ao traço de um osciloscópio e à linha de binário. Aplicação preferencial: branco puro sobre grafite. Área de proteção equivalente à altura do</w:t>
      </w:r>
      <w:r>
        <w:t xml:space="preserve"> </w:t>
      </w:r>
      <w:r>
        <w:t xml:space="preserve">“J”</w:t>
      </w:r>
      <w:r>
        <w:t xml:space="preserve"> </w:t>
      </w:r>
      <w:r>
        <w:t xml:space="preserve">em todo o perímetro. Nunca aplicar sobre fotografia sem sobreposição escura, nunca inclinar, nunca adicionar sombra ou contorno.</w:t>
      </w:r>
    </w:p>
    <w:bookmarkEnd w:id="21"/>
    <w:bookmarkEnd w:id="22"/>
    <w:bookmarkStart w:id="30" w:name="posicionamento-e-mercado"/>
    <w:p>
      <w:pPr>
        <w:pStyle w:val="Heading1"/>
      </w:pPr>
      <w:r>
        <w:t xml:space="preserve">03. Posicionamento e mercado</w:t>
      </w:r>
    </w:p>
    <w:bookmarkStart w:id="23" w:name="declaração-de-posicionamento"/>
    <w:p>
      <w:pPr>
        <w:pStyle w:val="Heading2"/>
      </w:pPr>
      <w:r>
        <w:t xml:space="preserve">Declaração de posicionamento</w:t>
      </w:r>
    </w:p>
    <w:p>
      <w:pPr>
        <w:pStyle w:val="FirstParagraph"/>
      </w:pPr>
      <w:r>
        <w:t xml:space="preserve">Para proprietários de viaturas europeias e profissionais do setor automóvel na margem sul de Lisboa que precisam de resolver problemas eletrónicos complexos ou extrair desempenho real, a JS Potência &amp; Performance é a empresa de eletrónica automóvel que trabalha com equipamento original, calibração individual e prova documentada — porque, ao contrário das oficinas que substituem componentes ou aplicam ficheiros genéricos, nós diagnosticamos até à causa e calibramos até ao resultado.</w:t>
      </w:r>
    </w:p>
    <w:bookmarkEnd w:id="23"/>
    <w:bookmarkStart w:id="24" w:name="regra-estratégica-fundamental"/>
    <w:p>
      <w:pPr>
        <w:pStyle w:val="Heading2"/>
      </w:pPr>
      <w:r>
        <w:t xml:space="preserve">Regra estratégica fundamental</w:t>
      </w:r>
    </w:p>
    <w:p>
      <w:pPr>
        <w:pStyle w:val="FirstParagraph"/>
      </w:pPr>
      <w:r>
        <w:t xml:space="preserve">A JS Potência &amp; Performance não compete por preço. Nenhuma superfície da marca — website, redes, agente de IA ou atendimento — apresenta preço antes de enquadramento técnico. O preço é sempre a conclusão de uma conversa, nunca a sua abertura.</w:t>
      </w:r>
    </w:p>
    <w:bookmarkEnd w:id="24"/>
    <w:bookmarkStart w:id="25" w:name="público-alvo-primário"/>
    <w:p>
      <w:pPr>
        <w:pStyle w:val="Heading2"/>
      </w:pPr>
      <w:r>
        <w:t xml:space="preserve">Público-alvo primário</w:t>
      </w:r>
    </w:p>
    <w:p>
      <w:pPr>
        <w:pStyle w:val="FirstParagraph"/>
      </w:pPr>
      <w:r>
        <w:t xml:space="preserve">Proprietários de automóveis diesel e gasolina entre os 25 e os 60 anos, que valorizam desempenho, fiabilidade e soluções técnicas de qualidade. Maioritariamente viaturas premium europeias: BMW, Mercedes-Benz, Audi, Volkswagen, Seat, Skoda, Porsche e restantes marcas europeias.</w:t>
      </w:r>
    </w:p>
    <w:p>
      <w:pPr>
        <w:pStyle w:val="BodyText"/>
      </w:pPr>
      <w:r>
        <w:t xml:space="preserve">Procuram: reprogramação ECU Stage 1, diagnóstico eletrónico avançado, reparação e clonagem de ECU, programação e codificação de módulos, soluções para sistemas de emissões e avarias eletrónicas.</w:t>
      </w:r>
    </w:p>
    <w:bookmarkEnd w:id="25"/>
    <w:bookmarkStart w:id="26" w:name="público-alvo-secundário"/>
    <w:p>
      <w:pPr>
        <w:pStyle w:val="Heading2"/>
      </w:pPr>
      <w:r>
        <w:t xml:space="preserve">Público-alvo secundário</w:t>
      </w:r>
    </w:p>
    <w:p>
      <w:pPr>
        <w:pStyle w:val="Compact"/>
        <w:numPr>
          <w:ilvl w:val="0"/>
          <w:numId w:val="1004"/>
        </w:numPr>
      </w:pPr>
      <w:r>
        <w:t xml:space="preserve">Oficinas mecânicas que precisam de apoio em eletrónica.</w:t>
      </w:r>
    </w:p>
    <w:p>
      <w:pPr>
        <w:pStyle w:val="Compact"/>
        <w:numPr>
          <w:ilvl w:val="0"/>
          <w:numId w:val="1004"/>
        </w:numPr>
      </w:pPr>
      <w:r>
        <w:t xml:space="preserve">Oficinas de eletricidade automóvel com casos fora do seu equipamento.</w:t>
      </w:r>
    </w:p>
    <w:p>
      <w:pPr>
        <w:pStyle w:val="Compact"/>
        <w:numPr>
          <w:ilvl w:val="0"/>
          <w:numId w:val="1004"/>
        </w:numPr>
      </w:pPr>
      <w:r>
        <w:t xml:space="preserve">Empresas de compra e venda de automóveis com viaturas paradas por avaria eletrónica.</w:t>
      </w:r>
    </w:p>
    <w:p>
      <w:pPr>
        <w:pStyle w:val="Compact"/>
        <w:numPr>
          <w:ilvl w:val="0"/>
          <w:numId w:val="1004"/>
        </w:numPr>
      </w:pPr>
      <w:r>
        <w:t xml:space="preserve">Preparadores automóveis que precisam de calibração dedicada.</w:t>
      </w:r>
    </w:p>
    <w:p>
      <w:pPr>
        <w:pStyle w:val="Compact"/>
        <w:numPr>
          <w:ilvl w:val="0"/>
          <w:numId w:val="1004"/>
        </w:numPr>
      </w:pPr>
      <w:r>
        <w:t xml:space="preserve">Empresas com frotas que precisam de reduzir imobilizações.</w:t>
      </w:r>
    </w:p>
    <w:bookmarkEnd w:id="26"/>
    <w:bookmarkStart w:id="27" w:name="perfil-do-cliente-ideal"/>
    <w:p>
      <w:pPr>
        <w:pStyle w:val="Heading2"/>
      </w:pPr>
      <w:r>
        <w:t xml:space="preserve">Perfil do cliente ideal</w:t>
      </w:r>
    </w:p>
    <w:p>
      <w:pPr>
        <w:pStyle w:val="FirstParagraph"/>
      </w:pPr>
      <w:r>
        <w:t xml:space="preserve">Procura alguém que resolva o que outras oficinas não conseguiram, utilize equipamento original e métodos profissionais, explique o trabalho de forma clara, inspire confiança e competência técnica, e entregue com rapidez e qualidade. Avalia por competência percebida, não por tabela de preços.</w:t>
      </w:r>
    </w:p>
    <w:bookmarkEnd w:id="27"/>
    <w:bookmarkStart w:id="28" w:name="diferenciação-face-ao-mercado"/>
    <w:p>
      <w:pPr>
        <w:pStyle w:val="Heading2"/>
      </w:pPr>
      <w:r>
        <w:t xml:space="preserve">Diferenciação face ao mercado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Prática comum no setor</w:t>
            </w:r>
          </w:p>
        </w:tc>
        <w:tc>
          <w:tcPr/>
          <w:p>
            <w:pPr>
              <w:pStyle w:val="Compact"/>
            </w:pPr>
            <w:r>
              <w:t xml:space="preserve">Prática JS Potência &amp; Performance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Ficheiros genéricos de catálogo</w:t>
            </w:r>
          </w:p>
        </w:tc>
        <w:tc>
          <w:tcPr/>
          <w:p>
            <w:pPr>
              <w:pStyle w:val="Compact"/>
            </w:pPr>
            <w:r>
              <w:t xml:space="preserve">Calibração a partir do ficheiro original da viatura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Substituição de módulos completos</w:t>
            </w:r>
          </w:p>
        </w:tc>
        <w:tc>
          <w:tcPr/>
          <w:p>
            <w:pPr>
              <w:pStyle w:val="Compact"/>
            </w:pPr>
            <w:r>
              <w:t xml:space="preserve">Reparação ao nível do componente sempre que seguro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Diagnóstico limitado à leitura de códigos</w:t>
            </w:r>
          </w:p>
        </w:tc>
        <w:tc>
          <w:tcPr/>
          <w:p>
            <w:pPr>
              <w:pStyle w:val="Compact"/>
            </w:pPr>
            <w:r>
              <w:t xml:space="preserve">Análise de rede, medição elétrica e osciloscopia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Comunicação por potência e preço</w:t>
            </w:r>
          </w:p>
        </w:tc>
        <w:tc>
          <w:tcPr/>
          <w:p>
            <w:pPr>
              <w:pStyle w:val="Compact"/>
            </w:pPr>
            <w:r>
              <w:t xml:space="preserve">Comunicação por método, prova e explicação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Sem registo escrito do trabalho</w:t>
            </w:r>
          </w:p>
        </w:tc>
        <w:tc>
          <w:tcPr/>
          <w:p>
            <w:pPr>
              <w:pStyle w:val="Compact"/>
            </w:pPr>
            <w:r>
              <w:t xml:space="preserve">Relatório técnico entregue em todas as intervenções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Estado original perdido</w:t>
            </w:r>
          </w:p>
        </w:tc>
        <w:tc>
          <w:tcPr/>
          <w:p>
            <w:pPr>
              <w:pStyle w:val="Compact"/>
            </w:pPr>
            <w:r>
              <w:t xml:space="preserve">Ficheiro de fábrica arquivado e reversível</w:t>
            </w:r>
          </w:p>
        </w:tc>
      </w:tr>
    </w:tbl>
    <w:bookmarkEnd w:id="28"/>
    <w:bookmarkStart w:id="29" w:name="territórios-que-a-marca-não-ocupa"/>
    <w:p>
      <w:pPr>
        <w:pStyle w:val="Heading2"/>
      </w:pPr>
      <w:r>
        <w:t xml:space="preserve">Territórios que a marca não ocupa</w:t>
      </w:r>
    </w:p>
    <w:p>
      <w:pPr>
        <w:pStyle w:val="Compact"/>
        <w:numPr>
          <w:ilvl w:val="0"/>
          <w:numId w:val="1005"/>
        </w:numPr>
      </w:pPr>
      <w:r>
        <w:t xml:space="preserve">Estética automóvel, wraps, som e acessórios.</w:t>
      </w:r>
    </w:p>
    <w:p>
      <w:pPr>
        <w:pStyle w:val="Compact"/>
        <w:numPr>
          <w:ilvl w:val="0"/>
          <w:numId w:val="1005"/>
        </w:numPr>
      </w:pPr>
      <w:r>
        <w:t xml:space="preserve">Comunicação de</w:t>
      </w:r>
      <w:r>
        <w:t xml:space="preserve"> </w:t>
      </w:r>
      <w:r>
        <w:t xml:space="preserve">“tuning”</w:t>
      </w:r>
      <w:r>
        <w:t xml:space="preserve"> </w:t>
      </w:r>
      <w:r>
        <w:t xml:space="preserve">ruidoso, cultura de rua ou competição ilegal.</w:t>
      </w:r>
    </w:p>
    <w:p>
      <w:pPr>
        <w:pStyle w:val="Compact"/>
        <w:numPr>
          <w:ilvl w:val="0"/>
          <w:numId w:val="1005"/>
        </w:numPr>
      </w:pPr>
      <w:r>
        <w:t xml:space="preserve">Campanhas de desconto, promoções de época e comparações de preço.</w:t>
      </w:r>
    </w:p>
    <w:p>
      <w:pPr>
        <w:pStyle w:val="Compact"/>
        <w:numPr>
          <w:ilvl w:val="0"/>
          <w:numId w:val="1005"/>
        </w:numPr>
      </w:pPr>
      <w:r>
        <w:t xml:space="preserve">Promessas de potência sem contexto mecânico.</w:t>
      </w:r>
    </w:p>
    <w:bookmarkEnd w:id="29"/>
    <w:bookmarkEnd w:id="30"/>
    <w:bookmarkStart w:id="36" w:name="voz-e-tom-de-comunicação"/>
    <w:p>
      <w:pPr>
        <w:pStyle w:val="Heading1"/>
      </w:pPr>
      <w:r>
        <w:t xml:space="preserve">04. Voz e tom de comunicação</w:t>
      </w:r>
    </w:p>
    <w:bookmarkStart w:id="31" w:name="personalidade-verbal"/>
    <w:p>
      <w:pPr>
        <w:pStyle w:val="Heading2"/>
      </w:pPr>
      <w:r>
        <w:t xml:space="preserve">Personalidade verbal</w:t>
      </w:r>
    </w:p>
    <w:p>
      <w:pPr>
        <w:pStyle w:val="FirstParagraph"/>
      </w:pPr>
      <w:r>
        <w:t xml:space="preserve">Especialista sereno. Fala com autoridade sem levantar a voz. Explica sem condescender. Afirma sem exagerar. Escreve como quem tem a certeza do que faz e não precisa de a demonstrar com adjetivos.</w:t>
      </w:r>
    </w:p>
    <w:bookmarkEnd w:id="31"/>
    <w:bookmarkStart w:id="32" w:name="princípios-de-escrita"/>
    <w:p>
      <w:pPr>
        <w:pStyle w:val="Heading2"/>
      </w:pPr>
      <w:r>
        <w:t xml:space="preserve">Princípios de escrita</w:t>
      </w:r>
    </w:p>
    <w:p>
      <w:pPr>
        <w:pStyle w:val="Compact"/>
        <w:numPr>
          <w:ilvl w:val="0"/>
          <w:numId w:val="1006"/>
        </w:numPr>
      </w:pPr>
      <w:r>
        <w:t xml:space="preserve">Frase curta e afirmativa. Uma ideia por frase.</w:t>
      </w:r>
    </w:p>
    <w:p>
      <w:pPr>
        <w:pStyle w:val="Compact"/>
        <w:numPr>
          <w:ilvl w:val="0"/>
          <w:numId w:val="1006"/>
        </w:numPr>
      </w:pPr>
      <w:r>
        <w:t xml:space="preserve">Verbo concreto antes de adjetivo.</w:t>
      </w:r>
      <w:r>
        <w:t xml:space="preserve"> </w:t>
      </w:r>
      <w:r>
        <w:t xml:space="preserve">“Medimos”</w:t>
      </w:r>
      <w:r>
        <w:t xml:space="preserve"> </w:t>
      </w:r>
      <w:r>
        <w:t xml:space="preserve">vale mais do que</w:t>
      </w:r>
      <w:r>
        <w:t xml:space="preserve"> </w:t>
      </w:r>
      <w:r>
        <w:t xml:space="preserve">“rigoroso”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Número específico antes de superlativo.</w:t>
      </w:r>
      <w:r>
        <w:t xml:space="preserve"> </w:t>
      </w:r>
      <w:r>
        <w:t xml:space="preserve">“2 a 4 horas”</w:t>
      </w:r>
      <w:r>
        <w:t xml:space="preserve"> </w:t>
      </w:r>
      <w:r>
        <w:t xml:space="preserve">vale mais do que</w:t>
      </w:r>
      <w:r>
        <w:t xml:space="preserve"> </w:t>
      </w:r>
      <w:r>
        <w:t xml:space="preserve">“rápido”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Termo técnico sempre acompanhado de tradução prática na primeira utilização.</w:t>
      </w:r>
    </w:p>
    <w:p>
      <w:pPr>
        <w:pStyle w:val="Compact"/>
        <w:numPr>
          <w:ilvl w:val="0"/>
          <w:numId w:val="1006"/>
        </w:numPr>
      </w:pPr>
      <w:r>
        <w:t xml:space="preserve">Português europeu, tratamento por</w:t>
      </w:r>
      <w:r>
        <w:t xml:space="preserve"> </w:t>
      </w:r>
      <w:r>
        <w:t xml:space="preserve">“você”</w:t>
      </w:r>
      <w:r>
        <w:t xml:space="preserve"> </w:t>
      </w:r>
      <w:r>
        <w:t xml:space="preserve">implícito e formal-próximo.</w:t>
      </w:r>
    </w:p>
    <w:p>
      <w:pPr>
        <w:pStyle w:val="Compact"/>
        <w:numPr>
          <w:ilvl w:val="0"/>
          <w:numId w:val="1006"/>
        </w:numPr>
      </w:pPr>
      <w:r>
        <w:t xml:space="preserve">Nunca prometer o que depende do estado da viatura sem o condicionar.</w:t>
      </w:r>
    </w:p>
    <w:bookmarkEnd w:id="32"/>
    <w:bookmarkStart w:id="33" w:name="vocabulário-da-marca"/>
    <w:p>
      <w:pPr>
        <w:pStyle w:val="Heading2"/>
      </w:pPr>
      <w:r>
        <w:t xml:space="preserve">Vocabulário da marca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Usar</w:t>
            </w:r>
          </w:p>
        </w:tc>
        <w:tc>
          <w:tcPr/>
          <w:p>
            <w:pPr>
              <w:pStyle w:val="Compact"/>
            </w:pPr>
            <w:r>
              <w:t xml:space="preserve">Evitar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calibração, mapa, leitura, validação</w:t>
            </w:r>
          </w:p>
        </w:tc>
        <w:tc>
          <w:tcPr/>
          <w:p>
            <w:pPr>
              <w:pStyle w:val="Compact"/>
            </w:pPr>
            <w:r>
              <w:t xml:space="preserve">chip, truque, magia, segredo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ganho, binário, resposta</w:t>
            </w:r>
          </w:p>
        </w:tc>
        <w:tc>
          <w:tcPr/>
          <w:p>
            <w:pPr>
              <w:pStyle w:val="Compact"/>
            </w:pPr>
            <w:r>
              <w:t xml:space="preserve">brutal, insano, monstro, bestial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diagnóstico, causa, medição</w:t>
            </w:r>
          </w:p>
        </w:tc>
        <w:tc>
          <w:tcPr/>
          <w:p>
            <w:pPr>
              <w:pStyle w:val="Compact"/>
            </w:pPr>
            <w:r>
              <w:t xml:space="preserve">dar uma vista de olhos, ver o que 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intervenção, trabalho, serviço</w:t>
            </w:r>
          </w:p>
        </w:tc>
        <w:tc>
          <w:tcPr/>
          <w:p>
            <w:pPr>
              <w:pStyle w:val="Compact"/>
            </w:pPr>
            <w:r>
              <w:t xml:space="preserve">trabalhinho, arranjinho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orçamento após enquadramento</w:t>
            </w:r>
          </w:p>
        </w:tc>
        <w:tc>
          <w:tcPr/>
          <w:p>
            <w:pPr>
              <w:pStyle w:val="Compact"/>
            </w:pPr>
            <w:r>
              <w:t xml:space="preserve">melhor preço, imbatível, desde X€</w:t>
            </w:r>
          </w:p>
        </w:tc>
      </w:tr>
      <w:tr>
        <w:tc>
          <w:tcPr/>
          <w:p>
            <w:pPr>
              <w:pStyle w:val="Compact"/>
            </w:pPr>
            <w:r>
              <w:t xml:space="preserve">equipamento original, bancada</w:t>
            </w:r>
          </w:p>
        </w:tc>
        <w:tc>
          <w:tcPr/>
          <w:p>
            <w:pPr>
              <w:pStyle w:val="Compact"/>
            </w:pPr>
            <w:r>
              <w:t xml:space="preserve">aparelho, máquina</w:t>
            </w:r>
          </w:p>
        </w:tc>
      </w:tr>
    </w:tbl>
    <w:bookmarkEnd w:id="33"/>
    <w:bookmarkStart w:id="34" w:name="exemplos-antes-e-depois"/>
    <w:p>
      <w:pPr>
        <w:pStyle w:val="Heading2"/>
      </w:pPr>
      <w:r>
        <w:t xml:space="preserve">Exemplos antes e depois</w:t>
      </w:r>
    </w:p>
    <w:p>
      <w:pPr>
        <w:pStyle w:val="FirstParagraph"/>
      </w:pPr>
      <w:r>
        <w:rPr>
          <w:b/>
          <w:bCs/>
        </w:rPr>
        <w:t xml:space="preserve">Antes</w:t>
      </w:r>
      <w:r>
        <w:t xml:space="preserve"> </w:t>
      </w:r>
      <w:r>
        <w:t xml:space="preserve">— Aumentamos brutalmente a potência do seu carro com os melhores preços do mercado!</w:t>
      </w:r>
    </w:p>
    <w:p>
      <w:pPr>
        <w:pStyle w:val="BodyText"/>
      </w:pPr>
      <w:r>
        <w:rPr>
          <w:b/>
          <w:bCs/>
        </w:rPr>
        <w:t xml:space="preserve">Depois</w:t>
      </w:r>
      <w:r>
        <w:t xml:space="preserve"> </w:t>
      </w:r>
      <w:r>
        <w:t xml:space="preserve">— Ganhos reais de potência e binário, dentro das margens mecânicas da sua viatura. Orçamento após enquadramento técnico.</w:t>
      </w:r>
    </w:p>
    <w:p>
      <w:pPr>
        <w:pStyle w:val="BodyText"/>
      </w:pPr>
      <w:r>
        <w:rPr>
          <w:b/>
          <w:bCs/>
        </w:rPr>
        <w:t xml:space="preserve">Antes</w:t>
      </w:r>
      <w:r>
        <w:t xml:space="preserve"> </w:t>
      </w:r>
      <w:r>
        <w:t xml:space="preserve">— Fazemos diagnóstico a todo o tipo de carros.</w:t>
      </w:r>
    </w:p>
    <w:p>
      <w:pPr>
        <w:pStyle w:val="BodyText"/>
      </w:pPr>
      <w:r>
        <w:rPr>
          <w:b/>
          <w:bCs/>
        </w:rPr>
        <w:t xml:space="preserve">Depois</w:t>
      </w:r>
      <w:r>
        <w:t xml:space="preserve"> </w:t>
      </w:r>
      <w:r>
        <w:t xml:space="preserve">— Um código de erro indica um sintoma, não a causa. Chegamos à origem — mesmo em avarias intermitentes.</w:t>
      </w:r>
    </w:p>
    <w:p>
      <w:pPr>
        <w:pStyle w:val="BodyText"/>
      </w:pPr>
      <w:r>
        <w:rPr>
          <w:b/>
          <w:bCs/>
        </w:rPr>
        <w:t xml:space="preserve">Antes</w:t>
      </w:r>
      <w:r>
        <w:t xml:space="preserve"> </w:t>
      </w:r>
      <w:r>
        <w:t xml:space="preserve">— Peça já o seu orçamento sem compromisso!</w:t>
      </w:r>
    </w:p>
    <w:p>
      <w:pPr>
        <w:pStyle w:val="BodyText"/>
      </w:pPr>
      <w:r>
        <w:rPr>
          <w:b/>
          <w:bCs/>
        </w:rPr>
        <w:t xml:space="preserve">Depois</w:t>
      </w:r>
      <w:r>
        <w:t xml:space="preserve"> </w:t>
      </w:r>
      <w:r>
        <w:t xml:space="preserve">— Descreva o caso. Respondemos com um enquadramento técnico e um valor concreto.</w:t>
      </w:r>
    </w:p>
    <w:bookmarkEnd w:id="34"/>
    <w:bookmarkStart w:id="35" w:name="tom-por-contexto"/>
    <w:p>
      <w:pPr>
        <w:pStyle w:val="Heading2"/>
      </w:pPr>
      <w:r>
        <w:t xml:space="preserve">Tom por contexto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Contexto</w:t>
            </w:r>
          </w:p>
        </w:tc>
        <w:tc>
          <w:tcPr/>
          <w:p>
            <w:pPr>
              <w:pStyle w:val="Compact"/>
            </w:pPr>
            <w:r>
              <w:t xml:space="preserve">Tom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Página inicial</w:t>
            </w:r>
          </w:p>
        </w:tc>
        <w:tc>
          <w:tcPr/>
          <w:p>
            <w:pPr>
              <w:pStyle w:val="Compact"/>
            </w:pPr>
            <w:r>
              <w:t xml:space="preserve">Afirmativo e sóbrio. Estabelece autoridade em três frases.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Páginas de serviço</w:t>
            </w:r>
          </w:p>
        </w:tc>
        <w:tc>
          <w:tcPr/>
          <w:p>
            <w:pPr>
              <w:pStyle w:val="Compact"/>
            </w:pPr>
            <w:r>
              <w:t xml:space="preserve">Didático e técnico. Explica o método passo a passo.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FAQ</w:t>
            </w:r>
          </w:p>
        </w:tc>
        <w:tc>
          <w:tcPr/>
          <w:p>
            <w:pPr>
              <w:pStyle w:val="Compact"/>
            </w:pPr>
            <w:r>
              <w:t xml:space="preserve">Direto e desarmante. Responde à dúvida real, incluindo objeções.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Profissionais</w:t>
            </w:r>
          </w:p>
        </w:tc>
        <w:tc>
          <w:tcPr/>
          <w:p>
            <w:pPr>
              <w:pStyle w:val="Compact"/>
            </w:pPr>
            <w:r>
              <w:t xml:space="preserve">Entre pares. Sem simplificações, com foco em prazo e fiabilidade.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Formulário e confirmação</w:t>
            </w:r>
          </w:p>
        </w:tc>
        <w:tc>
          <w:tcPr/>
          <w:p>
            <w:pPr>
              <w:pStyle w:val="Compact"/>
            </w:pPr>
            <w:r>
              <w:t xml:space="preserve">Prático e tranquilizador. Diz o que acontece a seguir.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Agente de IA</w:t>
            </w:r>
          </w:p>
        </w:tc>
        <w:tc>
          <w:tcPr/>
          <w:p>
            <w:pPr>
              <w:pStyle w:val="Compact"/>
            </w:pPr>
            <w:r>
              <w:t xml:space="preserve">Prestável e contido. Nunca inventa valores nem promete resultados.</w:t>
            </w:r>
          </w:p>
        </w:tc>
      </w:tr>
    </w:tbl>
    <w:bookmarkEnd w:id="35"/>
    <w:bookmarkEnd w:id="36"/>
    <w:bookmarkStart w:id="44" w:name="design-system-completo"/>
    <w:p>
      <w:pPr>
        <w:pStyle w:val="Heading1"/>
      </w:pPr>
      <w:r>
        <w:t xml:space="preserve">05. Design System completo</w:t>
      </w:r>
    </w:p>
    <w:p>
      <w:pPr>
        <w:pStyle w:val="FirstParagraph"/>
      </w:pPr>
      <w:r>
        <w:t xml:space="preserve">Sistema dark-first único. Não existe modo claro: a marca vive em grafite profundo, o que garante consistência absoluta entre website, documentos e material fotográfico.</w:t>
      </w:r>
    </w:p>
    <w:bookmarkStart w:id="37" w:name="paleta-cromática"/>
    <w:p>
      <w:pPr>
        <w:pStyle w:val="Heading2"/>
      </w:pPr>
      <w:r>
        <w:t xml:space="preserve">5.1 Paleta cromática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t xml:space="preserve">Valor (oklch)</w:t>
            </w:r>
          </w:p>
        </w:tc>
        <w:tc>
          <w:tcPr/>
          <w:p>
            <w:pPr>
              <w:pStyle w:val="Compact"/>
            </w:pPr>
            <w:r>
              <w:t xml:space="preserve">Aplicação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–background</w:t>
            </w:r>
          </w:p>
        </w:tc>
        <w:tc>
          <w:tcPr/>
          <w:p>
            <w:pPr>
              <w:pStyle w:val="Compact"/>
            </w:pPr>
            <w:r>
              <w:t xml:space="preserve">oklch(0.155 0.006 60)</w:t>
            </w:r>
          </w:p>
        </w:tc>
        <w:tc>
          <w:tcPr/>
          <w:p>
            <w:pPr>
              <w:pStyle w:val="Compact"/>
            </w:pPr>
            <w:r>
              <w:t xml:space="preserve">Fundo base, grafite profundo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–surface</w:t>
            </w:r>
          </w:p>
        </w:tc>
        <w:tc>
          <w:tcPr/>
          <w:p>
            <w:pPr>
              <w:pStyle w:val="Compact"/>
            </w:pPr>
            <w:r>
              <w:t xml:space="preserve">oklch(0.195 0.007 62)</w:t>
            </w:r>
          </w:p>
        </w:tc>
        <w:tc>
          <w:tcPr/>
          <w:p>
            <w:pPr>
              <w:pStyle w:val="Compact"/>
            </w:pPr>
            <w:r>
              <w:t xml:space="preserve">Cartões, painéis, superfícies elevadas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–surface-2</w:t>
            </w:r>
          </w:p>
        </w:tc>
        <w:tc>
          <w:tcPr/>
          <w:p>
            <w:pPr>
              <w:pStyle w:val="Compact"/>
            </w:pPr>
            <w:r>
              <w:t xml:space="preserve">oklch(0.235 0.008 62)</w:t>
            </w:r>
          </w:p>
        </w:tc>
        <w:tc>
          <w:tcPr/>
          <w:p>
            <w:pPr>
              <w:pStyle w:val="Compact"/>
            </w:pPr>
            <w:r>
              <w:t xml:space="preserve">Superfícies secundárias, estados hover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–foreground</w:t>
            </w:r>
          </w:p>
        </w:tc>
        <w:tc>
          <w:tcPr/>
          <w:p>
            <w:pPr>
              <w:pStyle w:val="Compact"/>
            </w:pPr>
            <w:r>
              <w:t xml:space="preserve">oklch(0.968 0.004 80)</w:t>
            </w:r>
          </w:p>
        </w:tc>
        <w:tc>
          <w:tcPr/>
          <w:p>
            <w:pPr>
              <w:pStyle w:val="Compact"/>
            </w:pPr>
            <w:r>
              <w:t xml:space="preserve">Texto principal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–muted-foreground</w:t>
            </w:r>
          </w:p>
        </w:tc>
        <w:tc>
          <w:tcPr/>
          <w:p>
            <w:pPr>
              <w:pStyle w:val="Compact"/>
            </w:pPr>
            <w:r>
              <w:t xml:space="preserve">oklch(0.705 0.011 70)</w:t>
            </w:r>
          </w:p>
        </w:tc>
        <w:tc>
          <w:tcPr/>
          <w:p>
            <w:pPr>
              <w:pStyle w:val="Compact"/>
            </w:pPr>
            <w:r>
              <w:t xml:space="preserve">Texto secundário e legendas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–primary</w:t>
            </w:r>
          </w:p>
        </w:tc>
        <w:tc>
          <w:tcPr/>
          <w:p>
            <w:pPr>
              <w:pStyle w:val="Compact"/>
            </w:pPr>
            <w:r>
              <w:t xml:space="preserve">oklch(0.762 0.152 62)</w:t>
            </w:r>
          </w:p>
        </w:tc>
        <w:tc>
          <w:tcPr/>
          <w:p>
            <w:pPr>
              <w:pStyle w:val="Compact"/>
            </w:pPr>
            <w:r>
              <w:t xml:space="preserve">Âmbar técnico — ações, kickers, dados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–primary-foreground</w:t>
            </w:r>
          </w:p>
        </w:tc>
        <w:tc>
          <w:tcPr/>
          <w:p>
            <w:pPr>
              <w:pStyle w:val="Compact"/>
            </w:pPr>
            <w:r>
              <w:t xml:space="preserve">oklch(0.165 0.012 62)</w:t>
            </w:r>
          </w:p>
        </w:tc>
        <w:tc>
          <w:tcPr/>
          <w:p>
            <w:pPr>
              <w:pStyle w:val="Compact"/>
            </w:pPr>
            <w:r>
              <w:t xml:space="preserve">Texto sobre âmbar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–border</w:t>
            </w:r>
          </w:p>
        </w:tc>
        <w:tc>
          <w:tcPr/>
          <w:p>
            <w:pPr>
              <w:pStyle w:val="Compact"/>
            </w:pPr>
            <w:r>
              <w:t xml:space="preserve">oklch(1 0 0 / 9%)</w:t>
            </w:r>
          </w:p>
        </w:tc>
        <w:tc>
          <w:tcPr/>
          <w:p>
            <w:pPr>
              <w:pStyle w:val="Compact"/>
            </w:pPr>
            <w:r>
              <w:t xml:space="preserve">Linhas hairline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–border-strong</w:t>
            </w:r>
          </w:p>
        </w:tc>
        <w:tc>
          <w:tcPr/>
          <w:p>
            <w:pPr>
              <w:pStyle w:val="Compact"/>
            </w:pPr>
            <w:r>
              <w:t xml:space="preserve">oklch(1 0 0 / 18%)</w:t>
            </w:r>
          </w:p>
        </w:tc>
        <w:tc>
          <w:tcPr/>
          <w:p>
            <w:pPr>
              <w:pStyle w:val="Compact"/>
            </w:pPr>
            <w:r>
              <w:t xml:space="preserve">Separadores estruturais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–destructive</w:t>
            </w:r>
          </w:p>
        </w:tc>
        <w:tc>
          <w:tcPr/>
          <w:p>
            <w:pPr>
              <w:pStyle w:val="Compact"/>
            </w:pPr>
            <w:r>
              <w:t xml:space="preserve">oklch(0.62 0.2 25)</w:t>
            </w:r>
          </w:p>
        </w:tc>
        <w:tc>
          <w:tcPr/>
          <w:p>
            <w:pPr>
              <w:pStyle w:val="Compact"/>
            </w:pPr>
            <w:r>
              <w:t xml:space="preserve">Erros de formulário</w:t>
            </w:r>
          </w:p>
        </w:tc>
      </w:tr>
    </w:tbl>
    <w:p>
      <w:pPr>
        <w:pStyle w:val="BodyText"/>
      </w:pPr>
      <w:r>
        <w:t xml:space="preserve">Regra de utilização do âmbar: máximo de dois elementos âmbar por dobra visível. O âmbar assinala ação e dado, nunca decoração. Nenhum componente pode usar cores fora dos tokens.</w:t>
      </w:r>
    </w:p>
    <w:bookmarkEnd w:id="37"/>
    <w:bookmarkStart w:id="38" w:name="tipografia"/>
    <w:p>
      <w:pPr>
        <w:pStyle w:val="Heading2"/>
      </w:pPr>
      <w:r>
        <w:t xml:space="preserve">5.2 Tipografia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Função</w:t>
            </w:r>
          </w:p>
        </w:tc>
        <w:tc>
          <w:tcPr/>
          <w:p>
            <w:pPr>
              <w:pStyle w:val="Compact"/>
            </w:pPr>
            <w:r>
              <w:t xml:space="preserve">Fonte</w:t>
            </w:r>
          </w:p>
        </w:tc>
        <w:tc>
          <w:tcPr/>
          <w:p>
            <w:pPr>
              <w:pStyle w:val="Compact"/>
            </w:pPr>
            <w:r>
              <w:t xml:space="preserve">Tratamento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Display / títulos</w:t>
            </w:r>
          </w:p>
        </w:tc>
        <w:tc>
          <w:tcPr/>
          <w:p>
            <w:pPr>
              <w:pStyle w:val="Compact"/>
            </w:pPr>
            <w:r>
              <w:t xml:space="preserve">Oswald 500–600</w:t>
            </w:r>
          </w:p>
        </w:tc>
        <w:tc>
          <w:tcPr/>
          <w:p>
            <w:pPr>
              <w:pStyle w:val="Compact"/>
            </w:pPr>
            <w:r>
              <w:t xml:space="preserve">Maiúsculas, tracking 0.005em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 e interface</w:t>
            </w:r>
          </w:p>
        </w:tc>
        <w:tc>
          <w:tcPr/>
          <w:p>
            <w:pPr>
              <w:pStyle w:val="Compact"/>
            </w:pPr>
            <w:r>
              <w:t xml:space="preserve">Manrope 400–700</w:t>
            </w:r>
          </w:p>
        </w:tc>
        <w:tc>
          <w:tcPr/>
          <w:p>
            <w:pPr>
              <w:pStyle w:val="Compact"/>
            </w:pPr>
            <w:r>
              <w:t xml:space="preserve">Caixa normal, altura de linha 1.65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Dados numéricos</w:t>
            </w:r>
          </w:p>
        </w:tc>
        <w:tc>
          <w:tcPr/>
          <w:p>
            <w:pPr>
              <w:pStyle w:val="Compact"/>
            </w:pPr>
            <w:r>
              <w:t xml:space="preserve">Oswald tabular-nums</w:t>
            </w:r>
          </w:p>
        </w:tc>
        <w:tc>
          <w:tcPr/>
          <w:p>
            <w:pPr>
              <w:pStyle w:val="Compact"/>
            </w:pPr>
            <w:r>
              <w:t xml:space="preserve">Potência, binário, tempos, medidas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Kicker de secção</w:t>
            </w:r>
          </w:p>
        </w:tc>
        <w:tc>
          <w:tcPr/>
          <w:p>
            <w:pPr>
              <w:pStyle w:val="Compact"/>
            </w:pPr>
            <w:r>
              <w:t xml:space="preserve">Oswald 500</w:t>
            </w:r>
          </w:p>
        </w:tc>
        <w:tc>
          <w:tcPr/>
          <w:p>
            <w:pPr>
              <w:pStyle w:val="Compact"/>
            </w:pPr>
            <w:r>
              <w:t xml:space="preserve">Maiúsculas, tracking 0.22em, 0.7rem, âmbar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Escala</w:t>
            </w:r>
          </w:p>
        </w:tc>
        <w:tc>
          <w:tcPr/>
          <w:p>
            <w:pPr>
              <w:pStyle w:val="Compact"/>
            </w:pPr>
            <w:r>
              <w:t xml:space="preserve">Desktop</w:t>
            </w:r>
          </w:p>
        </w:tc>
        <w:tc>
          <w:tcPr/>
          <w:p>
            <w:pPr>
              <w:pStyle w:val="Compact"/>
            </w:pPr>
            <w:r>
              <w:t xml:space="preserve">Mobile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H1 (hero)</w:t>
            </w:r>
          </w:p>
        </w:tc>
        <w:tc>
          <w:tcPr/>
          <w:p>
            <w:pPr>
              <w:pStyle w:val="Compact"/>
            </w:pPr>
            <w:r>
              <w:t xml:space="preserve">clamp 3.5–6.5rem</w:t>
            </w:r>
          </w:p>
        </w:tc>
        <w:tc>
          <w:tcPr/>
          <w:p>
            <w:pPr>
              <w:pStyle w:val="Compact"/>
            </w:pPr>
            <w:r>
              <w:t xml:space="preserve">2.75rem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H2 (secção)</w:t>
            </w:r>
          </w:p>
        </w:tc>
        <w:tc>
          <w:tcPr/>
          <w:p>
            <w:pPr>
              <w:pStyle w:val="Compact"/>
            </w:pPr>
            <w:r>
              <w:t xml:space="preserve">2.75rem</w:t>
            </w:r>
          </w:p>
        </w:tc>
        <w:tc>
          <w:tcPr/>
          <w:p>
            <w:pPr>
              <w:pStyle w:val="Compact"/>
            </w:pPr>
            <w:r>
              <w:t xml:space="preserve">2rem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H3 (bloco)</w:t>
            </w:r>
          </w:p>
        </w:tc>
        <w:tc>
          <w:tcPr/>
          <w:p>
            <w:pPr>
              <w:pStyle w:val="Compact"/>
            </w:pPr>
            <w:r>
              <w:t xml:space="preserve">1.5rem</w:t>
            </w:r>
          </w:p>
        </w:tc>
        <w:tc>
          <w:tcPr/>
          <w:p>
            <w:pPr>
              <w:pStyle w:val="Compact"/>
            </w:pPr>
            <w:r>
              <w:t xml:space="preserve">1.25rem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</w:t>
            </w:r>
          </w:p>
        </w:tc>
        <w:tc>
          <w:tcPr/>
          <w:p>
            <w:pPr>
              <w:pStyle w:val="Compact"/>
            </w:pPr>
            <w:r>
              <w:t xml:space="preserve">1.0625rem</w:t>
            </w:r>
          </w:p>
        </w:tc>
        <w:tc>
          <w:tcPr/>
          <w:p>
            <w:pPr>
              <w:pStyle w:val="Compact"/>
            </w:pPr>
            <w:r>
              <w:t xml:space="preserve">1rem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 grande (lead)</w:t>
            </w:r>
          </w:p>
        </w:tc>
        <w:tc>
          <w:tcPr/>
          <w:p>
            <w:pPr>
              <w:pStyle w:val="Compact"/>
            </w:pPr>
            <w:r>
              <w:t xml:space="preserve">1.25rem</w:t>
            </w:r>
          </w:p>
        </w:tc>
        <w:tc>
          <w:tcPr/>
          <w:p>
            <w:pPr>
              <w:pStyle w:val="Compact"/>
            </w:pPr>
            <w:r>
              <w:t xml:space="preserve">1.125rem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Legenda</w:t>
            </w:r>
          </w:p>
        </w:tc>
        <w:tc>
          <w:tcPr/>
          <w:p>
            <w:pPr>
              <w:pStyle w:val="Compact"/>
            </w:pPr>
            <w:r>
              <w:t xml:space="preserve">0.875rem</w:t>
            </w:r>
          </w:p>
        </w:tc>
        <w:tc>
          <w:tcPr/>
          <w:p>
            <w:pPr>
              <w:pStyle w:val="Compact"/>
            </w:pPr>
            <w:r>
              <w:t xml:space="preserve">0.8125rem</w:t>
            </w:r>
          </w:p>
        </w:tc>
      </w:tr>
    </w:tbl>
    <w:bookmarkEnd w:id="38"/>
    <w:bookmarkStart w:id="39" w:name="grelha-e-espaçamento"/>
    <w:p>
      <w:pPr>
        <w:pStyle w:val="Heading2"/>
      </w:pPr>
      <w:r>
        <w:t xml:space="preserve">5.3 Grelha e espaçamento</w:t>
      </w:r>
    </w:p>
    <w:p>
      <w:pPr>
        <w:pStyle w:val="Compact"/>
        <w:numPr>
          <w:ilvl w:val="0"/>
          <w:numId w:val="1007"/>
        </w:numPr>
      </w:pPr>
      <w:r>
        <w:t xml:space="preserve">Contentor máximo: 1280px, com margem lateral de 24px em mobile e 48px em desktop.</w:t>
      </w:r>
    </w:p>
    <w:p>
      <w:pPr>
        <w:pStyle w:val="Compact"/>
        <w:numPr>
          <w:ilvl w:val="0"/>
          <w:numId w:val="1007"/>
        </w:numPr>
      </w:pPr>
      <w:r>
        <w:t xml:space="preserve">Grelha de 12 colunas em desktop, 6 em tablet, 4 em mobile. Goteira de 24px.</w:t>
      </w:r>
    </w:p>
    <w:p>
      <w:pPr>
        <w:pStyle w:val="Compact"/>
        <w:numPr>
          <w:ilvl w:val="0"/>
          <w:numId w:val="1007"/>
        </w:numPr>
      </w:pPr>
      <w:r>
        <w:t xml:space="preserve">Escala de espaçamento base 4px: 4, 8, 12, 16, 24, 32, 48, 64, 96, 128, 160.</w:t>
      </w:r>
    </w:p>
    <w:p>
      <w:pPr>
        <w:pStyle w:val="Compact"/>
        <w:numPr>
          <w:ilvl w:val="0"/>
          <w:numId w:val="1007"/>
        </w:numPr>
      </w:pPr>
      <w:r>
        <w:t xml:space="preserve">Espaçamento vertical entre secções: 128px em desktop, 80px em mobile.</w:t>
      </w:r>
    </w:p>
    <w:p>
      <w:pPr>
        <w:pStyle w:val="Compact"/>
        <w:numPr>
          <w:ilvl w:val="0"/>
          <w:numId w:val="1007"/>
        </w:numPr>
      </w:pPr>
      <w:r>
        <w:t xml:space="preserve">Espaçamento interno de cartão: 32px em desktop, 24px em mobile.</w:t>
      </w:r>
    </w:p>
    <w:bookmarkEnd w:id="39"/>
    <w:bookmarkStart w:id="40" w:name="forma-bordo-e-elevação"/>
    <w:p>
      <w:pPr>
        <w:pStyle w:val="Heading2"/>
      </w:pPr>
      <w:r>
        <w:t xml:space="preserve">5.4 Forma, bordo e elevação</w:t>
      </w:r>
    </w:p>
    <w:p>
      <w:pPr>
        <w:pStyle w:val="Compact"/>
        <w:numPr>
          <w:ilvl w:val="0"/>
          <w:numId w:val="1008"/>
        </w:numPr>
      </w:pPr>
      <w:r>
        <w:t xml:space="preserve">Raio base 4px. A marca é técnica: cantos quase retos, nunca pílulas.</w:t>
      </w:r>
    </w:p>
    <w:p>
      <w:pPr>
        <w:pStyle w:val="Compact"/>
        <w:numPr>
          <w:ilvl w:val="0"/>
          <w:numId w:val="1008"/>
        </w:numPr>
      </w:pPr>
      <w:r>
        <w:t xml:space="preserve">Bordos hairline de 1px a 9% de branco. A hierarquia faz-se por luz, não por sombra.</w:t>
      </w:r>
    </w:p>
    <w:p>
      <w:pPr>
        <w:pStyle w:val="Compact"/>
        <w:numPr>
          <w:ilvl w:val="0"/>
          <w:numId w:val="1008"/>
        </w:numPr>
      </w:pPr>
      <w:r>
        <w:t xml:space="preserve">Elevação apenas por gradiente subtil de superfície e alteração do bordo para 18%.</w:t>
      </w:r>
    </w:p>
    <w:p>
      <w:pPr>
        <w:pStyle w:val="Compact"/>
        <w:numPr>
          <w:ilvl w:val="0"/>
          <w:numId w:val="1008"/>
        </w:numPr>
      </w:pPr>
      <w:r>
        <w:t xml:space="preserve">Nenhuma sombra difusa colorida. Nenhum glow.</w:t>
      </w:r>
    </w:p>
    <w:bookmarkEnd w:id="40"/>
    <w:bookmarkStart w:id="41" w:name="iconografia"/>
    <w:p>
      <w:pPr>
        <w:pStyle w:val="Heading2"/>
      </w:pPr>
      <w:r>
        <w:t xml:space="preserve">5.5 Iconografia</w:t>
      </w:r>
    </w:p>
    <w:p>
      <w:pPr>
        <w:pStyle w:val="FirstParagraph"/>
      </w:pPr>
      <w:r>
        <w:t xml:space="preserve">Biblioteca Lucide, traço 1.5px, tamanho 20px em interface e 24px em destaques. Estilo linear, sem preenchimento. Ícones canónicos: CircuitBoard (ECU), Gauge (performance), Activity (diagnóstico), Wrench (reparação), Cpu (módulos), Wind (emissões), ShieldCheck (garantia), FileText (relatório).</w:t>
      </w:r>
    </w:p>
    <w:bookmarkEnd w:id="41"/>
    <w:bookmarkStart w:id="42" w:name="componentes"/>
    <w:p>
      <w:pPr>
        <w:pStyle w:val="Heading2"/>
      </w:pPr>
      <w:r>
        <w:t xml:space="preserve">5.6 Componentes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Componente</w:t>
            </w:r>
          </w:p>
        </w:tc>
        <w:tc>
          <w:tcPr/>
          <w:p>
            <w:pPr>
              <w:pStyle w:val="Compact"/>
            </w:pPr>
            <w:r>
              <w:t xml:space="preserve">Especificação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Botão primário</w:t>
            </w:r>
          </w:p>
        </w:tc>
        <w:tc>
          <w:tcPr/>
          <w:p>
            <w:pPr>
              <w:pStyle w:val="Compact"/>
            </w:pPr>
            <w:r>
              <w:t xml:space="preserve">Fundo âmbar, texto grafite, raio 4px, altura 48px, tracking 0.05em, maiúsculas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Botão secundário</w:t>
            </w:r>
          </w:p>
        </w:tc>
        <w:tc>
          <w:tcPr/>
          <w:p>
            <w:pPr>
              <w:pStyle w:val="Compact"/>
            </w:pPr>
            <w:r>
              <w:t xml:space="preserve">Transparente, bordo 18% branco, texto branco, mesma métrica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Cartão de serviço</w:t>
            </w:r>
          </w:p>
        </w:tc>
        <w:tc>
          <w:tcPr/>
          <w:p>
            <w:pPr>
              <w:pStyle w:val="Compact"/>
            </w:pPr>
            <w:r>
              <w:t xml:space="preserve">Painel com gradiente, bordo hairline, ícone âmbar, título display, corpo muted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Passo de processo</w:t>
            </w:r>
          </w:p>
        </w:tc>
        <w:tc>
          <w:tcPr/>
          <w:p>
            <w:pPr>
              <w:pStyle w:val="Compact"/>
            </w:pPr>
            <w:r>
              <w:t xml:space="preserve">Número display em âmbar a 3rem, linha vertical de ligação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Bloco de dados</w:t>
            </w:r>
          </w:p>
        </w:tc>
        <w:tc>
          <w:tcPr/>
          <w:p>
            <w:pPr>
              <w:pStyle w:val="Compact"/>
            </w:pPr>
            <w:r>
              <w:t xml:space="preserve">Valor em display 3rem, rótulo em caixa alta 0.7rem muted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Acordeão FAQ</w:t>
            </w:r>
          </w:p>
        </w:tc>
        <w:tc>
          <w:tcPr/>
          <w:p>
            <w:pPr>
              <w:pStyle w:val="Compact"/>
            </w:pPr>
            <w:r>
              <w:t xml:space="preserve">Bordo inferior hairline, ícone de sinal, abertura 250ms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Campo de formulário</w:t>
            </w:r>
          </w:p>
        </w:tc>
        <w:tc>
          <w:tcPr/>
          <w:p>
            <w:pPr>
              <w:pStyle w:val="Compact"/>
            </w:pPr>
            <w:r>
              <w:t xml:space="preserve">Fundo transparente, bordo 14% branco, foco em anel âmbar a 55%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Barra de navegação</w:t>
            </w:r>
          </w:p>
        </w:tc>
        <w:tc>
          <w:tcPr/>
          <w:p>
            <w:pPr>
              <w:pStyle w:val="Compact"/>
            </w:pPr>
            <w:r>
              <w:t xml:space="preserve">Altura 72px, fundo translúcido com desfoque ao rolar</w:t>
            </w:r>
          </w:p>
        </w:tc>
      </w:tr>
    </w:tbl>
    <w:bookmarkEnd w:id="42"/>
    <w:bookmarkStart w:id="43" w:name="estados"/>
    <w:p>
      <w:pPr>
        <w:pStyle w:val="Heading2"/>
      </w:pPr>
      <w:r>
        <w:t xml:space="preserve">5.7 Estados</w:t>
      </w:r>
    </w:p>
    <w:p>
      <w:pPr>
        <w:pStyle w:val="Compact"/>
        <w:numPr>
          <w:ilvl w:val="0"/>
          <w:numId w:val="1009"/>
        </w:numPr>
      </w:pPr>
      <w:r>
        <w:t xml:space="preserve">Repouso: bordo a 9%, superfície base.</w:t>
      </w:r>
    </w:p>
    <w:p>
      <w:pPr>
        <w:pStyle w:val="Compact"/>
        <w:numPr>
          <w:ilvl w:val="0"/>
          <w:numId w:val="1009"/>
        </w:numPr>
      </w:pPr>
      <w:r>
        <w:t xml:space="preserve">Hover: bordo a 18%, elevação de 2px, transição 200ms.</w:t>
      </w:r>
    </w:p>
    <w:p>
      <w:pPr>
        <w:pStyle w:val="Compact"/>
        <w:numPr>
          <w:ilvl w:val="0"/>
          <w:numId w:val="1009"/>
        </w:numPr>
      </w:pPr>
      <w:r>
        <w:t xml:space="preserve">Foco: anel âmbar de 2px com deslocamento de 2px. Nunca remover o indicador de foco.</w:t>
      </w:r>
    </w:p>
    <w:p>
      <w:pPr>
        <w:pStyle w:val="Compact"/>
        <w:numPr>
          <w:ilvl w:val="0"/>
          <w:numId w:val="1009"/>
        </w:numPr>
      </w:pPr>
      <w:r>
        <w:t xml:space="preserve">Ativo: redução de 1px na elevação.</w:t>
      </w:r>
    </w:p>
    <w:p>
      <w:pPr>
        <w:pStyle w:val="Compact"/>
        <w:numPr>
          <w:ilvl w:val="0"/>
          <w:numId w:val="1009"/>
        </w:numPr>
      </w:pPr>
      <w:r>
        <w:t xml:space="preserve">Desativado: opacidade 40%, cursor não permitido.</w:t>
      </w:r>
    </w:p>
    <w:p>
      <w:pPr>
        <w:pStyle w:val="Compact"/>
        <w:numPr>
          <w:ilvl w:val="0"/>
          <w:numId w:val="1009"/>
        </w:numPr>
      </w:pPr>
      <w:r>
        <w:t xml:space="preserve">Erro: bordo destrutivo e mensagem por baixo do campo, alinhada à esquerda.</w:t>
      </w:r>
    </w:p>
    <w:bookmarkEnd w:id="43"/>
    <w:bookmarkEnd w:id="44"/>
    <w:bookmarkStart w:id="49" w:name="arquitetura-do-website"/>
    <w:p>
      <w:pPr>
        <w:pStyle w:val="Heading1"/>
      </w:pPr>
      <w:r>
        <w:t xml:space="preserve">06. Arquitetura do website</w:t>
      </w:r>
    </w:p>
    <w:bookmarkStart w:id="45" w:name="mapa-de-páginas"/>
    <w:p>
      <w:pPr>
        <w:pStyle w:val="Heading2"/>
      </w:pPr>
      <w:r>
        <w:t xml:space="preserve">Mapa de páginas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Rota</w:t>
            </w:r>
          </w:p>
        </w:tc>
        <w:tc>
          <w:tcPr/>
          <w:p>
            <w:pPr>
              <w:pStyle w:val="Compact"/>
            </w:pPr>
            <w:r>
              <w:t xml:space="preserve">Página</w:t>
            </w:r>
          </w:p>
        </w:tc>
        <w:tc>
          <w:tcPr/>
          <w:p>
            <w:pPr>
              <w:pStyle w:val="Compact"/>
            </w:pPr>
            <w:r>
              <w:t xml:space="preserve">Função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/</w:t>
            </w:r>
          </w:p>
        </w:tc>
        <w:tc>
          <w:tcPr/>
          <w:p>
            <w:pPr>
              <w:pStyle w:val="Compact"/>
            </w:pPr>
            <w:r>
              <w:t xml:space="preserve">Início</w:t>
            </w:r>
          </w:p>
        </w:tc>
        <w:tc>
          <w:tcPr/>
          <w:p>
            <w:pPr>
              <w:pStyle w:val="Compact"/>
            </w:pPr>
            <w:r>
              <w:t xml:space="preserve">Estabelecer autoridade e encaminhar para serviço ou orçamento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/servicos</w:t>
            </w:r>
          </w:p>
        </w:tc>
        <w:tc>
          <w:tcPr/>
          <w:p>
            <w:pPr>
              <w:pStyle w:val="Compact"/>
            </w:pPr>
            <w:r>
              <w:t xml:space="preserve">Serviços</w:t>
            </w:r>
          </w:p>
        </w:tc>
        <w:tc>
          <w:tcPr/>
          <w:p>
            <w:pPr>
              <w:pStyle w:val="Compact"/>
            </w:pPr>
            <w:r>
              <w:t xml:space="preserve">Panorama completo da oferta e entrada para cada detalhe</w:t>
            </w:r>
          </w:p>
        </w:tc>
      </w:tr>
      <w:tr>
        <w:tc>
          <w:tcPr/>
          <w:p>
            <w:pPr>
              <w:pStyle w:val="Compact"/>
            </w:pPr>
            <w:r>
              <w:t xml:space="preserve">/servicos/{slug}</w:t>
            </w:r>
          </w:p>
        </w:tc>
        <w:tc>
          <w:tcPr/>
          <w:p>
            <w:pPr>
              <w:pStyle w:val="Compact"/>
            </w:pPr>
            <w:r>
              <w:t xml:space="preserve">Detalhe de serviço</w:t>
            </w:r>
          </w:p>
        </w:tc>
        <w:tc>
          <w:tcPr/>
          <w:p>
            <w:pPr>
              <w:pStyle w:val="Compact"/>
            </w:pPr>
            <w:r>
              <w:t xml:space="preserve">Explicar método, entregáveis e converter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/processo</w:t>
            </w:r>
          </w:p>
        </w:tc>
        <w:tc>
          <w:tcPr/>
          <w:p>
            <w:pPr>
              <w:pStyle w:val="Compact"/>
            </w:pPr>
            <w:r>
              <w:t xml:space="preserve">Processo</w:t>
            </w:r>
          </w:p>
        </w:tc>
        <w:tc>
          <w:tcPr/>
          <w:p>
            <w:pPr>
              <w:pStyle w:val="Compact"/>
            </w:pPr>
            <w:r>
              <w:t xml:space="preserve">Demonstrar método em seis fases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/resultados</w:t>
            </w:r>
          </w:p>
        </w:tc>
        <w:tc>
          <w:tcPr/>
          <w:p>
            <w:pPr>
              <w:pStyle w:val="Compact"/>
            </w:pPr>
            <w:r>
              <w:t xml:space="preserve">Resultados</w:t>
            </w:r>
          </w:p>
        </w:tc>
        <w:tc>
          <w:tcPr/>
          <w:p>
            <w:pPr>
              <w:pStyle w:val="Compact"/>
            </w:pPr>
            <w:r>
              <w:t xml:space="preserve">Provar com dados, casos e critérios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/profissionais</w:t>
            </w:r>
          </w:p>
        </w:tc>
        <w:tc>
          <w:tcPr/>
          <w:p>
            <w:pPr>
              <w:pStyle w:val="Compact"/>
            </w:pPr>
            <w:r>
              <w:t xml:space="preserve">Profissionais</w:t>
            </w:r>
          </w:p>
        </w:tc>
        <w:tc>
          <w:tcPr/>
          <w:p>
            <w:pPr>
              <w:pStyle w:val="Compact"/>
            </w:pPr>
            <w:r>
              <w:t xml:space="preserve">Captar oficinas, stands, preparadores e frotas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/sobre</w:t>
            </w:r>
          </w:p>
        </w:tc>
        <w:tc>
          <w:tcPr/>
          <w:p>
            <w:pPr>
              <w:pStyle w:val="Compact"/>
            </w:pPr>
            <w:r>
              <w:t xml:space="preserve">Sobre</w:t>
            </w:r>
          </w:p>
        </w:tc>
        <w:tc>
          <w:tcPr/>
          <w:p>
            <w:pPr>
              <w:pStyle w:val="Compact"/>
            </w:pPr>
            <w:r>
              <w:t xml:space="preserve">Construir confiança pessoal e institucional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/faq</w:t>
            </w:r>
          </w:p>
        </w:tc>
        <w:tc>
          <w:tcPr/>
          <w:p>
            <w:pPr>
              <w:pStyle w:val="Compact"/>
            </w:pPr>
            <w:r>
              <w:t xml:space="preserve">FAQ</w:t>
            </w:r>
          </w:p>
        </w:tc>
        <w:tc>
          <w:tcPr/>
          <w:p>
            <w:pPr>
              <w:pStyle w:val="Compact"/>
            </w:pPr>
            <w:r>
              <w:t xml:space="preserve">Eliminar objeções e captar pesquisa informacional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/contactos</w:t>
            </w:r>
          </w:p>
        </w:tc>
        <w:tc>
          <w:tcPr/>
          <w:p>
            <w:pPr>
              <w:pStyle w:val="Compact"/>
            </w:pPr>
            <w:r>
              <w:t xml:space="preserve">Contactos e orçamento</w:t>
            </w:r>
          </w:p>
        </w:tc>
        <w:tc>
          <w:tcPr/>
          <w:p>
            <w:pPr>
              <w:pStyle w:val="Compact"/>
            </w:pPr>
            <w:r>
              <w:t xml:space="preserve">Converter em pedido qualificado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/framework</w:t>
            </w:r>
          </w:p>
        </w:tc>
        <w:tc>
          <w:tcPr/>
          <w:p>
            <w:pPr>
              <w:pStyle w:val="Compact"/>
            </w:pPr>
            <w:r>
              <w:t xml:space="preserve">Framework Premium v1.0</w:t>
            </w:r>
          </w:p>
        </w:tc>
        <w:tc>
          <w:tcPr/>
          <w:p>
            <w:pPr>
              <w:pStyle w:val="Compact"/>
            </w:pPr>
            <w:r>
              <w:t xml:space="preserve">Documento oficial navegável e transferível</w:t>
            </w:r>
          </w:p>
        </w:tc>
      </w:tr>
    </w:tbl>
    <w:bookmarkEnd w:id="45"/>
    <w:bookmarkStart w:id="46" w:name="hierarquia-de-navegação"/>
    <w:p>
      <w:pPr>
        <w:pStyle w:val="Heading2"/>
      </w:pPr>
      <w:r>
        <w:t xml:space="preserve">Hierarquia de navegação</w:t>
      </w:r>
    </w:p>
    <w:p>
      <w:pPr>
        <w:pStyle w:val="FirstParagraph"/>
      </w:pPr>
      <w:r>
        <w:t xml:space="preserve">Barra principal: Início, Serviços, Processo, Resultados, Profissionais, Sobre, FAQ. Ação persistente à direita:</w:t>
      </w:r>
      <w:r>
        <w:t xml:space="preserve"> </w:t>
      </w:r>
      <w:r>
        <w:t xml:space="preserve">“Pedir orçamento”</w:t>
      </w:r>
      <w:r>
        <w:t xml:space="preserve">. Em mobile, painel lateral com a mesma ordem e a ação fixada no topo do painel.</w:t>
      </w:r>
    </w:p>
    <w:p>
      <w:pPr>
        <w:pStyle w:val="BodyText"/>
      </w:pPr>
      <w:r>
        <w:t xml:space="preserve">O rodapé repete os serviços por extenso — funciona como mapa do site para utilizador e motor de pesquisa — e apresenta contactos, localização e horário.</w:t>
      </w:r>
    </w:p>
    <w:bookmarkEnd w:id="46"/>
    <w:bookmarkStart w:id="47" w:name="fluxos-de-navegação-principais"/>
    <w:p>
      <w:pPr>
        <w:pStyle w:val="Heading2"/>
      </w:pPr>
      <w:r>
        <w:t xml:space="preserve">Fluxos de navegação principais</w:t>
      </w:r>
    </w:p>
    <w:p>
      <w:pPr>
        <w:pStyle w:val="Compact"/>
        <w:numPr>
          <w:ilvl w:val="0"/>
          <w:numId w:val="1010"/>
        </w:numPr>
      </w:pPr>
      <w:r>
        <w:t xml:space="preserve">Fluxo de desempenho: Início → Serviços → Reprogramação Stage 1 → Processo → Contactos.</w:t>
      </w:r>
    </w:p>
    <w:p>
      <w:pPr>
        <w:pStyle w:val="Compact"/>
        <w:numPr>
          <w:ilvl w:val="0"/>
          <w:numId w:val="1010"/>
        </w:numPr>
      </w:pPr>
      <w:r>
        <w:t xml:space="preserve">Fluxo de avaria: Pesquisa orgânica → Diagnóstico avançado → FAQ → Contactos.</w:t>
      </w:r>
    </w:p>
    <w:p>
      <w:pPr>
        <w:pStyle w:val="Compact"/>
        <w:numPr>
          <w:ilvl w:val="0"/>
          <w:numId w:val="1010"/>
        </w:numPr>
      </w:pPr>
      <w:r>
        <w:t xml:space="preserve">Fluxo profissional: Início → Profissionais → Contactos (com identificação de empresa).</w:t>
      </w:r>
    </w:p>
    <w:p>
      <w:pPr>
        <w:pStyle w:val="Compact"/>
        <w:numPr>
          <w:ilvl w:val="0"/>
          <w:numId w:val="1010"/>
        </w:numPr>
      </w:pPr>
      <w:r>
        <w:t xml:space="preserve">Fluxo de confiança: Início → Sobre → Resultados → Contactos.</w:t>
      </w:r>
    </w:p>
    <w:p>
      <w:pPr>
        <w:pStyle w:val="Compact"/>
        <w:numPr>
          <w:ilvl w:val="0"/>
          <w:numId w:val="1010"/>
        </w:numPr>
      </w:pPr>
      <w:r>
        <w:t xml:space="preserve">Fluxo de retorno: Rodapé → FAQ → Serviço específico → Contactos.</w:t>
      </w:r>
    </w:p>
    <w:bookmarkEnd w:id="47"/>
    <w:bookmarkStart w:id="48" w:name="regra-de-conversão"/>
    <w:p>
      <w:pPr>
        <w:pStyle w:val="Heading2"/>
      </w:pPr>
      <w:r>
        <w:t xml:space="preserve">Regra de conversão</w:t>
      </w:r>
    </w:p>
    <w:p>
      <w:pPr>
        <w:pStyle w:val="FirstParagraph"/>
      </w:pPr>
      <w:r>
        <w:t xml:space="preserve">Nenhuma página termina sem um caminho para o orçamento. Todas as páginas de conteúdo fecham com o mesmo bloco de conversão, com texto adaptado ao contexto da página.</w:t>
      </w:r>
    </w:p>
    <w:bookmarkEnd w:id="48"/>
    <w:bookmarkEnd w:id="49"/>
    <w:bookmarkStart w:id="59" w:name="textos-finais-do-website"/>
    <w:p>
      <w:pPr>
        <w:pStyle w:val="Heading1"/>
      </w:pPr>
      <w:r>
        <w:t xml:space="preserve">07. Textos finais do website</w:t>
      </w:r>
    </w:p>
    <w:bookmarkStart w:id="50" w:name="página-inicial"/>
    <w:p>
      <w:pPr>
        <w:pStyle w:val="Heading2"/>
      </w:pPr>
      <w:r>
        <w:t xml:space="preserve">7.1 Página inicial</w:t>
      </w:r>
    </w:p>
    <w:p>
      <w:pPr>
        <w:pStyle w:val="FirstParagraph"/>
      </w:pPr>
      <w:r>
        <w:rPr>
          <w:b/>
          <w:bCs/>
        </w:rPr>
        <w:t xml:space="preserve">Kicker</w:t>
      </w:r>
      <w:r>
        <w:t xml:space="preserve"> </w:t>
      </w:r>
      <w:r>
        <w:t xml:space="preserve">— Eletrónica automóvel · Corroios, Seixal</w:t>
      </w:r>
    </w:p>
    <w:p>
      <w:pPr>
        <w:pStyle w:val="BodyText"/>
      </w:pPr>
      <w:r>
        <w:rPr>
          <w:b/>
          <w:bCs/>
        </w:rPr>
        <w:t xml:space="preserve">H1</w:t>
      </w:r>
      <w:r>
        <w:t xml:space="preserve"> </w:t>
      </w:r>
      <w:r>
        <w:t xml:space="preserve">— Engenharia eletrónica automóvel. Precisão que outros não alcançam.</w:t>
      </w:r>
    </w:p>
    <w:p>
      <w:pPr>
        <w:pStyle w:val="BodyText"/>
      </w:pPr>
      <w:r>
        <w:rPr>
          <w:b/>
          <w:bCs/>
        </w:rPr>
        <w:t xml:space="preserve">Lead</w:t>
      </w:r>
      <w:r>
        <w:t xml:space="preserve"> </w:t>
      </w:r>
      <w:r>
        <w:t xml:space="preserve">— Reprogramação de centralinas, diagnóstico avançado e reparação de módulos eletrónicos para viaturas europeias. Trabalhamos sobre o ficheiro original da sua viatura, com equipamento de marca e prova documentada.</w:t>
      </w:r>
    </w:p>
    <w:p>
      <w:pPr>
        <w:pStyle w:val="BodyText"/>
      </w:pPr>
      <w:r>
        <w:rPr>
          <w:b/>
          <w:bCs/>
        </w:rPr>
        <w:t xml:space="preserve">Ação primária</w:t>
      </w:r>
      <w:r>
        <w:t xml:space="preserve"> </w:t>
      </w:r>
      <w:r>
        <w:t xml:space="preserve">— Pedir orçamento</w:t>
      </w:r>
    </w:p>
    <w:p>
      <w:pPr>
        <w:pStyle w:val="BodyText"/>
      </w:pPr>
      <w:r>
        <w:rPr>
          <w:b/>
          <w:bCs/>
        </w:rPr>
        <w:t xml:space="preserve">Ação secundária</w:t>
      </w:r>
      <w:r>
        <w:t xml:space="preserve"> </w:t>
      </w:r>
      <w:r>
        <w:t xml:space="preserve">— Ver serviços</w:t>
      </w:r>
    </w:p>
    <w:p>
      <w:pPr>
        <w:pStyle w:val="BodyText"/>
      </w:pPr>
      <w:r>
        <w:t xml:space="preserve">Bloco de autoridade —</w:t>
      </w:r>
      <w:r>
        <w:t xml:space="preserve"> </w:t>
      </w:r>
      <w:r>
        <w:t xml:space="preserve">“O que nos distingue”</w:t>
      </w:r>
      <w:r>
        <w:t xml:space="preserve">: Equipamento original · Calibração individual · Reversibilidade total · Explicação clara. Cada um com uma frase de suporte definida no capítulo 5 do sistema de conteúdos.</w:t>
      </w:r>
    </w:p>
    <w:p>
      <w:pPr>
        <w:pStyle w:val="BodyText"/>
      </w:pPr>
      <w:r>
        <w:t xml:space="preserve">Bloco de serviços: seis cartões, na ordem Stage 1, Diagnóstico avançado, Reparação e clonagem de ECU, Soluções de emissões, Programação de módulos, Stage 2.</w:t>
      </w:r>
    </w:p>
    <w:p>
      <w:pPr>
        <w:pStyle w:val="BodyText"/>
      </w:pPr>
      <w:r>
        <w:t xml:space="preserve">Bloco de método:</w:t>
      </w:r>
      <w:r>
        <w:t xml:space="preserve"> </w:t>
      </w:r>
      <w:r>
        <w:t xml:space="preserve">“Ler. Medir. Calibrar. Provar.”</w:t>
      </w:r>
      <w:r>
        <w:t xml:space="preserve"> </w:t>
      </w:r>
      <w:r>
        <w:t xml:space="preserve">com ligação ao processo completo.</w:t>
      </w:r>
    </w:p>
    <w:p>
      <w:pPr>
        <w:pStyle w:val="BodyText"/>
      </w:pPr>
      <w:r>
        <w:t xml:space="preserve">Bloco profissional:</w:t>
      </w:r>
      <w:r>
        <w:t xml:space="preserve"> </w:t>
      </w:r>
      <w:r>
        <w:t xml:space="preserve">“Trabalha no setor? Somos o seu departamento de eletrónica.”</w:t>
      </w:r>
      <w:r>
        <w:t xml:space="preserve"> </w:t>
      </w:r>
      <w:r>
        <w:t xml:space="preserve">com ligação à página de profissionais.</w:t>
      </w:r>
    </w:p>
    <w:p>
      <w:pPr>
        <w:pStyle w:val="BodyText"/>
      </w:pPr>
      <w:r>
        <w:t xml:space="preserve">Bloco final de conversão:</w:t>
      </w:r>
      <w:r>
        <w:t xml:space="preserve"> </w:t>
      </w:r>
      <w:r>
        <w:t xml:space="preserve">“Descreva o caso. Respondemos com um enquadramento técnico.”</w:t>
      </w:r>
    </w:p>
    <w:bookmarkEnd w:id="50"/>
    <w:bookmarkStart w:id="51" w:name="serviços-introdução"/>
    <w:p>
      <w:pPr>
        <w:pStyle w:val="Heading2"/>
      </w:pPr>
      <w:r>
        <w:t xml:space="preserve">7.2 Serviços — introdução</w:t>
      </w:r>
    </w:p>
    <w:p>
      <w:pPr>
        <w:pStyle w:val="FirstParagraph"/>
      </w:pPr>
      <w:r>
        <w:t xml:space="preserve">H1: Serviços. Lead: Seis áreas de intervenção, um único método. Cada trabalho começa por leitura e diagnóstico e termina com validação em estrada e relatório escrito.</w:t>
      </w:r>
    </w:p>
    <w:bookmarkEnd w:id="51"/>
    <w:bookmarkStart w:id="52" w:name="textos-de-cada-serviço"/>
    <w:p>
      <w:pPr>
        <w:pStyle w:val="Heading2"/>
      </w:pPr>
      <w:r>
        <w:t xml:space="preserve">7.3 Textos de cada serviço</w:t>
      </w:r>
    </w:p>
    <w:p>
      <w:pPr>
        <w:pStyle w:val="FirstParagraph"/>
      </w:pPr>
      <w:r>
        <w:t xml:space="preserve">Os textos integrais de cada uma das seis páginas de serviço — introdução, parágrafo de método, lista de pontos técnicos, entregáveis, duração e público — estão implementados no website e constituem a versão oficial. Nenhum texto de serviço deve ser reescrito sem atualizar este documento.</w:t>
      </w:r>
    </w:p>
    <w:bookmarkEnd w:id="52"/>
    <w:bookmarkStart w:id="53" w:name="processo"/>
    <w:p>
      <w:pPr>
        <w:pStyle w:val="Heading2"/>
      </w:pPr>
      <w:r>
        <w:t xml:space="preserve">7.4 Processo</w:t>
      </w:r>
    </w:p>
    <w:p>
      <w:pPr>
        <w:pStyle w:val="FirstParagraph"/>
      </w:pPr>
      <w:r>
        <w:t xml:space="preserve">H1: O método. Lead: Seis fases, sempre pela mesma ordem, em todos os trabalhos. É o que garante que o resultado é repetível e que o estado original da viatura nunca se perde.</w:t>
      </w:r>
    </w:p>
    <w:bookmarkEnd w:id="53"/>
    <w:bookmarkStart w:id="54" w:name="resultados"/>
    <w:p>
      <w:pPr>
        <w:pStyle w:val="Heading2"/>
      </w:pPr>
      <w:r>
        <w:t xml:space="preserve">7.5 Resultados</w:t>
      </w:r>
    </w:p>
    <w:p>
      <w:pPr>
        <w:pStyle w:val="FirstParagraph"/>
      </w:pPr>
      <w:r>
        <w:t xml:space="preserve">H1: Resultados. Lead: Não publicamos números que não possamos justificar. Os valores abaixo são intervalos típicos, sempre condicionados ao estado mecânico de cada viatura.</w:t>
      </w:r>
    </w:p>
    <w:bookmarkEnd w:id="54"/>
    <w:bookmarkStart w:id="55" w:name="profissionais"/>
    <w:p>
      <w:pPr>
        <w:pStyle w:val="Heading2"/>
      </w:pPr>
      <w:r>
        <w:t xml:space="preserve">7.6 Profissionais</w:t>
      </w:r>
    </w:p>
    <w:p>
      <w:pPr>
        <w:pStyle w:val="FirstParagraph"/>
      </w:pPr>
      <w:r>
        <w:t xml:space="preserve">H1: Para profissionais do setor. Lead: Oficinas, eletricistas auto, stands, preparadores e frotas. Trabalhamos como o vosso departamento de eletrónica — com prazos definidos, relatório técnico e sem interferir na vossa relação com o cliente.</w:t>
      </w:r>
    </w:p>
    <w:bookmarkEnd w:id="55"/>
    <w:bookmarkStart w:id="56" w:name="sobre"/>
    <w:p>
      <w:pPr>
        <w:pStyle w:val="Heading2"/>
      </w:pPr>
      <w:r>
        <w:t xml:space="preserve">7.7 Sobre</w:t>
      </w:r>
    </w:p>
    <w:p>
      <w:pPr>
        <w:pStyle w:val="FirstParagraph"/>
      </w:pPr>
      <w:r>
        <w:t xml:space="preserve">H1: Sobre a JS Potência &amp; Performance. Lead: Nascemos de uma constatação simples: a maioria das avarias eletrónicas modernas não se resolve com substituição de peças, mas com diagnóstico competente. Corpo: A JS Potência &amp; Performance opera em Corroios, Seixal, e é procurada tanto por proprietários de viaturas europeias como por profissionais do setor que precisam de apoio especializado. Investimos em equipamento original, bancada de reparação com microscopia e formação contínua, porque a eletrónica automóvel evolui todos os anos. Não competimos por preço. Competimos por competência, método e clareza.</w:t>
      </w:r>
    </w:p>
    <w:bookmarkEnd w:id="56"/>
    <w:bookmarkStart w:id="57" w:name="contactos-e-orçamento"/>
    <w:p>
      <w:pPr>
        <w:pStyle w:val="Heading2"/>
      </w:pPr>
      <w:r>
        <w:t xml:space="preserve">7.8 Contactos e orçamento</w:t>
      </w:r>
    </w:p>
    <w:p>
      <w:pPr>
        <w:pStyle w:val="FirstParagraph"/>
      </w:pPr>
      <w:r>
        <w:t xml:space="preserve">H1: Pedir orçamento. Lead: Quanto mais completa for a descrição, mais precisa será a resposta. Indique marca, modelo, motor, ano e o que pretende resolver ou melhorar.</w:t>
      </w:r>
    </w:p>
    <w:p>
      <w:pPr>
        <w:pStyle w:val="BodyText"/>
      </w:pPr>
      <w:r>
        <w:t xml:space="preserve">Texto de confirmação: Pedido registado. Analisamos o caso e respondemos com enquadramento técnico e valor. Normalmente em menos de quatro horas úteis.</w:t>
      </w:r>
    </w:p>
    <w:bookmarkEnd w:id="57"/>
    <w:bookmarkStart w:id="58" w:name="microcópia"/>
    <w:p>
      <w:pPr>
        <w:pStyle w:val="Heading2"/>
      </w:pPr>
      <w:r>
        <w:t xml:space="preserve">7.9 Microcópia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Elemento</w:t>
            </w:r>
          </w:p>
        </w:tc>
        <w:tc>
          <w:tcPr/>
          <w:p>
            <w:pPr>
              <w:pStyle w:val="Compact"/>
            </w:pPr>
            <w:r>
              <w:t xml:space="preserve">Texto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Botão principal global</w:t>
            </w:r>
          </w:p>
        </w:tc>
        <w:tc>
          <w:tcPr/>
          <w:p>
            <w:pPr>
              <w:pStyle w:val="Compact"/>
            </w:pPr>
            <w:r>
              <w:t xml:space="preserve">Pedir orçamento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Botão de serviço</w:t>
            </w:r>
          </w:p>
        </w:tc>
        <w:tc>
          <w:tcPr/>
          <w:p>
            <w:pPr>
              <w:pStyle w:val="Compact"/>
            </w:pPr>
            <w:r>
              <w:t xml:space="preserve">Pedir orçamento para este serviço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Placeholder de descrição</w:t>
            </w:r>
          </w:p>
        </w:tc>
        <w:tc>
          <w:tcPr/>
          <w:p>
            <w:pPr>
              <w:pStyle w:val="Compact"/>
            </w:pPr>
            <w:r>
              <w:t xml:space="preserve">Ex.: BMW 320d F30 2015, 190cv. Pretendo Stage 1 e tenho falhas em frio.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Nota de privacidade</w:t>
            </w:r>
          </w:p>
        </w:tc>
        <w:tc>
          <w:tcPr/>
          <w:p>
            <w:pPr>
              <w:pStyle w:val="Compact"/>
            </w:pPr>
            <w:r>
              <w:t xml:space="preserve">Os seus dados são usados apenas para responder ao pedido.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Estado vazio de erro</w:t>
            </w:r>
          </w:p>
        </w:tc>
        <w:tc>
          <w:tcPr/>
          <w:p>
            <w:pPr>
              <w:pStyle w:val="Compact"/>
            </w:pPr>
            <w:r>
              <w:t xml:space="preserve">Faltou um campo. Verifique os campos assinalados.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Erro 404</w:t>
            </w:r>
          </w:p>
        </w:tc>
        <w:tc>
          <w:tcPr/>
          <w:p>
            <w:pPr>
              <w:pStyle w:val="Compact"/>
            </w:pPr>
            <w:r>
              <w:t xml:space="preserve">Esta página não existe. Volte ao início ou consulte os serviços.</w:t>
            </w:r>
          </w:p>
        </w:tc>
      </w:tr>
    </w:tbl>
    <w:bookmarkEnd w:id="58"/>
    <w:bookmarkEnd w:id="59"/>
    <w:bookmarkStart w:id="64" w:name="uxui-premium-layout-desktop-e-mobile"/>
    <w:p>
      <w:pPr>
        <w:pStyle w:val="Heading1"/>
      </w:pPr>
      <w:r>
        <w:t xml:space="preserve">08. UX/UI premium — layout desktop e mobile</w:t>
      </w:r>
    </w:p>
    <w:bookmarkStart w:id="60" w:name="princípios-de-layout"/>
    <w:p>
      <w:pPr>
        <w:pStyle w:val="Heading2"/>
      </w:pPr>
      <w:r>
        <w:t xml:space="preserve">Princípios de layout</w:t>
      </w:r>
    </w:p>
    <w:p>
      <w:pPr>
        <w:pStyle w:val="Compact"/>
        <w:numPr>
          <w:ilvl w:val="0"/>
          <w:numId w:val="1011"/>
        </w:numPr>
      </w:pPr>
      <w:r>
        <w:t xml:space="preserve">Uma ideia por dobra. Nada compete pela atenção no mesmo ecrã.</w:t>
      </w:r>
    </w:p>
    <w:p>
      <w:pPr>
        <w:pStyle w:val="Compact"/>
        <w:numPr>
          <w:ilvl w:val="0"/>
          <w:numId w:val="1011"/>
        </w:numPr>
      </w:pPr>
      <w:r>
        <w:t xml:space="preserve">Respiração superior a densidade. O espaço negativo é o principal sinal de premium.</w:t>
      </w:r>
    </w:p>
    <w:p>
      <w:pPr>
        <w:pStyle w:val="Compact"/>
        <w:numPr>
          <w:ilvl w:val="0"/>
          <w:numId w:val="1011"/>
        </w:numPr>
      </w:pPr>
      <w:r>
        <w:t xml:space="preserve">Alinhamento à esquerda como norma. Centrar apenas o hero da página inicial.</w:t>
      </w:r>
    </w:p>
    <w:p>
      <w:pPr>
        <w:pStyle w:val="Compact"/>
        <w:numPr>
          <w:ilvl w:val="0"/>
          <w:numId w:val="1011"/>
        </w:numPr>
      </w:pPr>
      <w:r>
        <w:t xml:space="preserve">Fotografia sempre escurecida por sobreposição, para garantir contraste do texto.</w:t>
      </w:r>
    </w:p>
    <w:p>
      <w:pPr>
        <w:pStyle w:val="Compact"/>
        <w:numPr>
          <w:ilvl w:val="0"/>
          <w:numId w:val="1011"/>
        </w:numPr>
      </w:pPr>
      <w:r>
        <w:t xml:space="preserve">Nenhuma secção decorativa sem função informativa.</w:t>
      </w:r>
    </w:p>
    <w:bookmarkEnd w:id="60"/>
    <w:bookmarkStart w:id="61" w:name="hero-da-página-inicial"/>
    <w:p>
      <w:pPr>
        <w:pStyle w:val="Heading2"/>
      </w:pPr>
      <w:r>
        <w:t xml:space="preserve">Hero da página inicial</w:t>
      </w:r>
    </w:p>
    <w:p>
      <w:pPr>
        <w:pStyle w:val="FirstParagraph"/>
      </w:pPr>
      <w:r>
        <w:t xml:space="preserve">Desktop: altura de 92vh, fotografia macro de centralina em fundo com sobreposição vertical de grafite a 82%, kicker âmbar, H1 em três linhas, lead a 620px de largura máxima, duas ações lado a lado, faixa inferior com quatro dados-chave. Mobile: altura automática com mínimo de 88vh, H1 a 2.75rem em quatro linhas, ações empilhadas em largura total, faixa de dados em grelha de dois por dois.</w:t>
      </w:r>
    </w:p>
    <w:bookmarkEnd w:id="61"/>
    <w:bookmarkStart w:id="62" w:name="comportamento-responsivo"/>
    <w:p>
      <w:pPr>
        <w:pStyle w:val="Heading2"/>
      </w:pPr>
      <w:r>
        <w:t xml:space="preserve">Comportamento responsivo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Breakpoint</w:t>
            </w:r>
          </w:p>
        </w:tc>
        <w:tc>
          <w:tcPr/>
          <w:p>
            <w:pPr>
              <w:pStyle w:val="Compact"/>
            </w:pPr>
            <w:r>
              <w:t xml:space="preserve">Largura</w:t>
            </w:r>
          </w:p>
        </w:tc>
        <w:tc>
          <w:tcPr/>
          <w:p>
            <w:pPr>
              <w:pStyle w:val="Compact"/>
            </w:pPr>
            <w:r>
              <w:t xml:space="preserve">Comportamento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Mobile</w:t>
            </w:r>
          </w:p>
        </w:tc>
        <w:tc>
          <w:tcPr/>
          <w:p>
            <w:pPr>
              <w:pStyle w:val="Compact"/>
            </w:pPr>
            <w:r>
              <w:t xml:space="preserve">&lt; 640px</w:t>
            </w:r>
          </w:p>
        </w:tc>
        <w:tc>
          <w:tcPr/>
          <w:p>
            <w:pPr>
              <w:pStyle w:val="Compact"/>
            </w:pPr>
            <w:r>
              <w:t xml:space="preserve">Coluna única, navegação em painel lateral, ações em largura total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Tablet</w:t>
            </w:r>
          </w:p>
        </w:tc>
        <w:tc>
          <w:tcPr/>
          <w:p>
            <w:pPr>
              <w:pStyle w:val="Compact"/>
            </w:pPr>
            <w:r>
              <w:t xml:space="preserve">640–1024px</w:t>
            </w:r>
          </w:p>
        </w:tc>
        <w:tc>
          <w:tcPr/>
          <w:p>
            <w:pPr>
              <w:pStyle w:val="Compact"/>
            </w:pPr>
            <w:r>
              <w:t xml:space="preserve">Duas colunas em grelhas de cartões, navegação ainda em painel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Desktop</w:t>
            </w:r>
          </w:p>
        </w:tc>
        <w:tc>
          <w:tcPr/>
          <w:p>
            <w:pPr>
              <w:pStyle w:val="Compact"/>
            </w:pPr>
            <w:r>
              <w:t xml:space="preserve">1024–1440px</w:t>
            </w:r>
          </w:p>
        </w:tc>
        <w:tc>
          <w:tcPr/>
          <w:p>
            <w:pPr>
              <w:pStyle w:val="Compact"/>
            </w:pPr>
            <w:r>
              <w:t xml:space="preserve">Navegação completa, grelhas de três colunas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Amplo</w:t>
            </w:r>
          </w:p>
        </w:tc>
        <w:tc>
          <w:tcPr/>
          <w:p>
            <w:pPr>
              <w:pStyle w:val="Compact"/>
            </w:pPr>
            <w:r>
              <w:t xml:space="preserve">&gt; 1440px</w:t>
            </w:r>
          </w:p>
        </w:tc>
        <w:tc>
          <w:tcPr/>
          <w:p>
            <w:pPr>
              <w:pStyle w:val="Compact"/>
            </w:pPr>
            <w:r>
              <w:t xml:space="preserve">Contentor fixo a 1280px, margens crescentes</w:t>
            </w:r>
          </w:p>
        </w:tc>
      </w:tr>
    </w:tbl>
    <w:bookmarkEnd w:id="62"/>
    <w:bookmarkStart w:id="63" w:name="acessibilidade"/>
    <w:p>
      <w:pPr>
        <w:pStyle w:val="Heading2"/>
      </w:pPr>
      <w:r>
        <w:t xml:space="preserve">Acessibilidade</w:t>
      </w:r>
    </w:p>
    <w:p>
      <w:pPr>
        <w:pStyle w:val="Compact"/>
        <w:numPr>
          <w:ilvl w:val="0"/>
          <w:numId w:val="1012"/>
        </w:numPr>
      </w:pPr>
      <w:r>
        <w:t xml:space="preserve">Contraste mínimo de 4.5:1 em texto corrente e 3:1 em texto grande. Âmbar sobre grafite cumpre ambos.</w:t>
      </w:r>
    </w:p>
    <w:p>
      <w:pPr>
        <w:pStyle w:val="Compact"/>
        <w:numPr>
          <w:ilvl w:val="0"/>
          <w:numId w:val="1012"/>
        </w:numPr>
      </w:pPr>
      <w:r>
        <w:t xml:space="preserve">Área de toque mínima de 44x44px em todos os elementos interativos.</w:t>
      </w:r>
    </w:p>
    <w:p>
      <w:pPr>
        <w:pStyle w:val="Compact"/>
        <w:numPr>
          <w:ilvl w:val="0"/>
          <w:numId w:val="1012"/>
        </w:numPr>
      </w:pPr>
      <w:r>
        <w:t xml:space="preserve">Indicador de foco visível e nunca removido.</w:t>
      </w:r>
    </w:p>
    <w:p>
      <w:pPr>
        <w:pStyle w:val="Compact"/>
        <w:numPr>
          <w:ilvl w:val="0"/>
          <w:numId w:val="1012"/>
        </w:numPr>
      </w:pPr>
      <w:r>
        <w:t xml:space="preserve">Estrutura semântica com um único H1 por página e hierarquia contínua.</w:t>
      </w:r>
    </w:p>
    <w:p>
      <w:pPr>
        <w:pStyle w:val="Compact"/>
        <w:numPr>
          <w:ilvl w:val="0"/>
          <w:numId w:val="1012"/>
        </w:numPr>
      </w:pPr>
      <w:r>
        <w:t xml:space="preserve">Texto alternativo descritivo em todas as imagens de conteúdo.</w:t>
      </w:r>
    </w:p>
    <w:p>
      <w:pPr>
        <w:pStyle w:val="Compact"/>
        <w:numPr>
          <w:ilvl w:val="0"/>
          <w:numId w:val="1012"/>
        </w:numPr>
      </w:pPr>
      <w:r>
        <w:t xml:space="preserve">Respeito integral por prefers-reduced-motion.</w:t>
      </w:r>
    </w:p>
    <w:bookmarkEnd w:id="63"/>
    <w:bookmarkEnd w:id="64"/>
    <w:bookmarkStart w:id="65" w:name="animação-e-movimento"/>
    <w:p>
      <w:pPr>
        <w:pStyle w:val="Heading1"/>
      </w:pPr>
      <w:r>
        <w:t xml:space="preserve">09. Animação e movimento</w:t>
      </w:r>
    </w:p>
    <w:p>
      <w:pPr>
        <w:pStyle w:val="FirstParagraph"/>
      </w:pPr>
      <w:r>
        <w:t xml:space="preserve">O movimento na marca é contido. Serve para orientar o olhar e confirmar interação — nunca para entreter. Se uma animação não comunica nada, não existe.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Elemento</w:t>
            </w:r>
          </w:p>
        </w:tc>
        <w:tc>
          <w:tcPr/>
          <w:p>
            <w:pPr>
              <w:pStyle w:val="Compact"/>
            </w:pPr>
            <w:r>
              <w:t xml:space="preserve">Movimento</w:t>
            </w:r>
          </w:p>
        </w:tc>
        <w:tc>
          <w:tcPr/>
          <w:p>
            <w:pPr>
              <w:pStyle w:val="Compact"/>
            </w:pPr>
            <w:r>
              <w:t xml:space="preserve">Duração e curva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Entrada de secção</w:t>
            </w:r>
          </w:p>
        </w:tc>
        <w:tc>
          <w:tcPr/>
          <w:p>
            <w:pPr>
              <w:pStyle w:val="Compact"/>
            </w:pPr>
            <w:r>
              <w:t xml:space="preserve">Deslocamento de 18px e opacidade 0→1</w:t>
            </w:r>
          </w:p>
        </w:tc>
        <w:tc>
          <w:tcPr/>
          <w:p>
            <w:pPr>
              <w:pStyle w:val="Compact"/>
            </w:pPr>
            <w:r>
              <w:t xml:space="preserve">700ms, cubic-bezier(0.16, 1, 0.3,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Cartão em hover</w:t>
            </w:r>
          </w:p>
        </w:tc>
        <w:tc>
          <w:tcPr/>
          <w:p>
            <w:pPr>
              <w:pStyle w:val="Compact"/>
            </w:pPr>
            <w:r>
              <w:t xml:space="preserve">Elevação de 2px e bordo 9%→18%</w:t>
            </w:r>
          </w:p>
        </w:tc>
        <w:tc>
          <w:tcPr/>
          <w:p>
            <w:pPr>
              <w:pStyle w:val="Compact"/>
            </w:pPr>
            <w:r>
              <w:t xml:space="preserve">200ms, ease-out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Botão em hover</w:t>
            </w:r>
          </w:p>
        </w:tc>
        <w:tc>
          <w:tcPr/>
          <w:p>
            <w:pPr>
              <w:pStyle w:val="Compact"/>
            </w:pPr>
            <w:r>
              <w:t xml:space="preserve">Luminosidade +6%</w:t>
            </w:r>
          </w:p>
        </w:tc>
        <w:tc>
          <w:tcPr/>
          <w:p>
            <w:pPr>
              <w:pStyle w:val="Compact"/>
            </w:pPr>
            <w:r>
              <w:t xml:space="preserve">150ms, ease-out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Barra de navegação ao rolar</w:t>
            </w:r>
          </w:p>
        </w:tc>
        <w:tc>
          <w:tcPr/>
          <w:p>
            <w:pPr>
              <w:pStyle w:val="Compact"/>
            </w:pPr>
            <w:r>
              <w:t xml:space="preserve">Fundo translúcido com desfoque</w:t>
            </w:r>
          </w:p>
        </w:tc>
        <w:tc>
          <w:tcPr/>
          <w:p>
            <w:pPr>
              <w:pStyle w:val="Compact"/>
            </w:pPr>
            <w:r>
              <w:t xml:space="preserve">250ms, 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Acordeão FAQ</w:t>
            </w:r>
          </w:p>
        </w:tc>
        <w:tc>
          <w:tcPr/>
          <w:p>
            <w:pPr>
              <w:pStyle w:val="Compact"/>
            </w:pPr>
            <w:r>
              <w:t xml:space="preserve">Altura e opacidade</w:t>
            </w:r>
          </w:p>
        </w:tc>
        <w:tc>
          <w:tcPr/>
          <w:p>
            <w:pPr>
              <w:pStyle w:val="Compact"/>
            </w:pPr>
            <w:r>
              <w:t xml:space="preserve">250ms, ease-out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Dados numéricos</w:t>
            </w:r>
          </w:p>
        </w:tc>
        <w:tc>
          <w:tcPr/>
          <w:p>
            <w:pPr>
              <w:pStyle w:val="Compact"/>
            </w:pPr>
            <w:r>
              <w:t xml:space="preserve">Contagem crescente ao entrar em viewport</w:t>
            </w:r>
          </w:p>
        </w:tc>
        <w:tc>
          <w:tcPr/>
          <w:p>
            <w:pPr>
              <w:pStyle w:val="Compact"/>
            </w:pPr>
            <w:r>
              <w:t xml:space="preserve">900ms, ease-out</w:t>
            </w:r>
          </w:p>
        </w:tc>
      </w:tr>
    </w:tbl>
    <w:p>
      <w:pPr>
        <w:pStyle w:val="Compact"/>
        <w:numPr>
          <w:ilvl w:val="0"/>
          <w:numId w:val="1013"/>
        </w:numPr>
      </w:pPr>
      <w:r>
        <w:t xml:space="preserve">Máximo de um elemento em animação por dobra visível.</w:t>
      </w:r>
    </w:p>
    <w:p>
      <w:pPr>
        <w:pStyle w:val="Compact"/>
        <w:numPr>
          <w:ilvl w:val="0"/>
          <w:numId w:val="1013"/>
        </w:numPr>
      </w:pPr>
      <w:r>
        <w:t xml:space="preserve">Atrasos escalonados nunca superiores a 80ms por item.</w:t>
      </w:r>
    </w:p>
    <w:p>
      <w:pPr>
        <w:pStyle w:val="Compact"/>
        <w:numPr>
          <w:ilvl w:val="0"/>
          <w:numId w:val="1013"/>
        </w:numPr>
      </w:pPr>
      <w:r>
        <w:t xml:space="preserve">Sem paralaxe, sem rotação, sem animação em loop permanente.</w:t>
      </w:r>
    </w:p>
    <w:p>
      <w:pPr>
        <w:pStyle w:val="Compact"/>
        <w:numPr>
          <w:ilvl w:val="0"/>
          <w:numId w:val="1013"/>
        </w:numPr>
      </w:pPr>
      <w:r>
        <w:t xml:space="preserve">Toda a animação é suprimida com prefers-reduced-motion.</w:t>
      </w:r>
    </w:p>
    <w:bookmarkEnd w:id="65"/>
    <w:bookmarkStart w:id="69" w:name="direção-de-arte-e-imagens-de-fundo"/>
    <w:p>
      <w:pPr>
        <w:pStyle w:val="Heading1"/>
      </w:pPr>
      <w:r>
        <w:t xml:space="preserve">10. Direção de arte e imagens de fundo</w:t>
      </w:r>
    </w:p>
    <w:bookmarkStart w:id="66" w:name="princípios-fotográficos"/>
    <w:p>
      <w:pPr>
        <w:pStyle w:val="Heading2"/>
      </w:pPr>
      <w:r>
        <w:t xml:space="preserve">Princípios fotográficos</w:t>
      </w:r>
    </w:p>
    <w:p>
      <w:pPr>
        <w:pStyle w:val="Compact"/>
        <w:numPr>
          <w:ilvl w:val="0"/>
          <w:numId w:val="1014"/>
        </w:numPr>
      </w:pPr>
      <w:r>
        <w:t xml:space="preserve">Luz baixa e direcional, com um único ponto de luz quente.</w:t>
      </w:r>
    </w:p>
    <w:p>
      <w:pPr>
        <w:pStyle w:val="Compact"/>
        <w:numPr>
          <w:ilvl w:val="0"/>
          <w:numId w:val="1014"/>
        </w:numPr>
      </w:pPr>
      <w:r>
        <w:t xml:space="preserve">Pretos profundos preservados. Nunca levantar sombras.</w:t>
      </w:r>
    </w:p>
    <w:p>
      <w:pPr>
        <w:pStyle w:val="Compact"/>
        <w:numPr>
          <w:ilvl w:val="0"/>
          <w:numId w:val="1014"/>
        </w:numPr>
      </w:pPr>
      <w:r>
        <w:t xml:space="preserve">Profundidade de campo curta: o detalhe técnico em foco, o resto dissolvido.</w:t>
      </w:r>
    </w:p>
    <w:p>
      <w:pPr>
        <w:pStyle w:val="Compact"/>
        <w:numPr>
          <w:ilvl w:val="0"/>
          <w:numId w:val="1014"/>
        </w:numPr>
      </w:pPr>
      <w:r>
        <w:t xml:space="preserve">Sem pessoas em plano geral. Mãos e gestos técnicos, sim; retratos posados, não.</w:t>
      </w:r>
    </w:p>
    <w:p>
      <w:pPr>
        <w:pStyle w:val="Compact"/>
        <w:numPr>
          <w:ilvl w:val="0"/>
          <w:numId w:val="1014"/>
        </w:numPr>
      </w:pPr>
      <w:r>
        <w:t xml:space="preserve">Sem logótipos de marcas automóveis visíveis.</w:t>
      </w:r>
    </w:p>
    <w:p>
      <w:pPr>
        <w:pStyle w:val="Compact"/>
        <w:numPr>
          <w:ilvl w:val="0"/>
          <w:numId w:val="1014"/>
        </w:numPr>
      </w:pPr>
      <w:r>
        <w:t xml:space="preserve">Nenhuma imagem entra no site sem sobreposição de grafite entre 70% e 85%.</w:t>
      </w:r>
    </w:p>
    <w:bookmarkEnd w:id="66"/>
    <w:bookmarkStart w:id="67" w:name="biblioteca-de-imagens-oficial"/>
    <w:p>
      <w:pPr>
        <w:pStyle w:val="Heading2"/>
      </w:pPr>
      <w:r>
        <w:t xml:space="preserve">Biblioteca de imagens oficial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Ficheiro</w:t>
            </w:r>
          </w:p>
        </w:tc>
        <w:tc>
          <w:tcPr/>
          <w:p>
            <w:pPr>
              <w:pStyle w:val="Compact"/>
            </w:pPr>
            <w:r>
              <w:t xml:space="preserve">Conteúdo</w:t>
            </w:r>
          </w:p>
        </w:tc>
        <w:tc>
          <w:tcPr/>
          <w:p>
            <w:pPr>
              <w:pStyle w:val="Compact"/>
            </w:pPr>
            <w:r>
              <w:t xml:space="preserve">Aplicação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hero-ecu.jpg</w:t>
            </w:r>
          </w:p>
        </w:tc>
        <w:tc>
          <w:tcPr/>
          <w:p>
            <w:pPr>
              <w:pStyle w:val="Compact"/>
            </w:pPr>
            <w:r>
              <w:t xml:space="preserve">Macro de centralina aberta em bancada antiestática, luz âmbar rasante</w:t>
            </w:r>
          </w:p>
        </w:tc>
        <w:tc>
          <w:tcPr/>
          <w:p>
            <w:pPr>
              <w:pStyle w:val="Compact"/>
            </w:pPr>
            <w:r>
              <w:t xml:space="preserve">Hero da página inicial e capa do documento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diagnostico.jpg</w:t>
            </w:r>
          </w:p>
        </w:tc>
        <w:tc>
          <w:tcPr/>
          <w:p>
            <w:pPr>
              <w:pStyle w:val="Compact"/>
            </w:pPr>
            <w:r>
              <w:t xml:space="preserve">Sessão de diagnóstico com interface ligada à porta OBD, dados âmbar no ecrã</w:t>
            </w:r>
          </w:p>
        </w:tc>
        <w:tc>
          <w:tcPr/>
          <w:p>
            <w:pPr>
              <w:pStyle w:val="Compact"/>
            </w:pPr>
            <w:r>
              <w:t xml:space="preserve">Serviço de diagnóstico e bloco de método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reparacao.jpg</w:t>
            </w:r>
          </w:p>
        </w:tc>
        <w:tc>
          <w:tcPr/>
          <w:p>
            <w:pPr>
              <w:pStyle w:val="Compact"/>
            </w:pPr>
            <w:r>
              <w:t xml:space="preserve">Mãos com ferro de soldar e pinça sob microscópio sobre módulo</w:t>
            </w:r>
          </w:p>
        </w:tc>
        <w:tc>
          <w:tcPr/>
          <w:p>
            <w:pPr>
              <w:pStyle w:val="Compact"/>
            </w:pPr>
            <w:r>
              <w:t xml:space="preserve">Reparação e clonagem de ECU, página Sobre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dyno.jpg</w:t>
            </w:r>
          </w:p>
        </w:tc>
        <w:tc>
          <w:tcPr/>
          <w:p>
            <w:pPr>
              <w:pStyle w:val="Compact"/>
            </w:pPr>
            <w:r>
              <w:t xml:space="preserve">Berlina europeia sobre rolos em oficina de baixa luz</w:t>
            </w:r>
          </w:p>
        </w:tc>
        <w:tc>
          <w:tcPr/>
          <w:p>
            <w:pPr>
              <w:pStyle w:val="Compact"/>
            </w:pPr>
            <w:r>
              <w:t xml:space="preserve">Resultados, Stage 1 e Stage 2</w:t>
            </w:r>
          </w:p>
        </w:tc>
      </w:tr>
    </w:tbl>
    <w:bookmarkEnd w:id="67"/>
    <w:bookmarkStart w:id="68" w:name="tratamento-em-uso"/>
    <w:p>
      <w:pPr>
        <w:pStyle w:val="Heading2"/>
      </w:pPr>
      <w:r>
        <w:t xml:space="preserve">Tratamento em uso</w:t>
      </w:r>
    </w:p>
    <w:p>
      <w:pPr>
        <w:pStyle w:val="FirstParagraph"/>
      </w:pPr>
      <w:r>
        <w:t xml:space="preserve">Sobreposição de gradiente vertical de grafite, de 95% no topo a 60% na base, para garantir legibilidade do texto em todos os tamanhos de ecrã. Todas as imagens são servidas em formato otimizado, com carregamento diferido exceto a imagem do hero, que é o elemento de maior conteúdo visível e carrega com prioridade.</w:t>
      </w:r>
    </w:p>
    <w:bookmarkEnd w:id="68"/>
    <w:bookmarkEnd w:id="69"/>
    <w:bookmarkStart w:id="76" w:name="seo-e-presença-em-pesquisa"/>
    <w:p>
      <w:pPr>
        <w:pStyle w:val="Heading1"/>
      </w:pPr>
      <w:r>
        <w:t xml:space="preserve">11. SEO e presença em pesquisa</w:t>
      </w:r>
    </w:p>
    <w:bookmarkStart w:id="70" w:name="estratégia"/>
    <w:p>
      <w:pPr>
        <w:pStyle w:val="Heading2"/>
      </w:pPr>
      <w:r>
        <w:t xml:space="preserve">Estratégia</w:t>
      </w:r>
    </w:p>
    <w:p>
      <w:pPr>
        <w:pStyle w:val="FirstParagraph"/>
      </w:pPr>
      <w:r>
        <w:t xml:space="preserve">A prioridade é a pesquisa local de alta intenção na margem sul de Lisboa, complementada por conteúdo informacional que capta pesquisas de sintoma. A marca não disputa termos genéricos nacionais de baixa qualificação.</w:t>
      </w:r>
    </w:p>
    <w:bookmarkEnd w:id="70"/>
    <w:bookmarkStart w:id="71" w:name="mapa-de-palavras-chave"/>
    <w:p>
      <w:pPr>
        <w:pStyle w:val="Heading2"/>
      </w:pPr>
      <w:r>
        <w:t xml:space="preserve">Mapa de palavras-chave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Página</w:t>
            </w:r>
          </w:p>
        </w:tc>
        <w:tc>
          <w:tcPr/>
          <w:p>
            <w:pPr>
              <w:pStyle w:val="Compact"/>
            </w:pPr>
            <w:r>
              <w:t xml:space="preserve">Palavra-chave principal</w:t>
            </w:r>
          </w:p>
        </w:tc>
        <w:tc>
          <w:tcPr/>
          <w:p>
            <w:pPr>
              <w:pStyle w:val="Compact"/>
            </w:pPr>
            <w:r>
              <w:t xml:space="preserve">Secundárias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Início</w:t>
            </w:r>
          </w:p>
        </w:tc>
        <w:tc>
          <w:tcPr/>
          <w:p>
            <w:pPr>
              <w:pStyle w:val="Compact"/>
            </w:pPr>
            <w:r>
              <w:t xml:space="preserve">eletrónica automóvel Seixal</w:t>
            </w:r>
          </w:p>
        </w:tc>
        <w:tc>
          <w:tcPr/>
          <w:p>
            <w:pPr>
              <w:pStyle w:val="Compact"/>
            </w:pPr>
            <w:r>
              <w:t xml:space="preserve">reprogramação ECU Seixal, performance automóvel Corroios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Stage 1</w:t>
            </w:r>
          </w:p>
        </w:tc>
        <w:tc>
          <w:tcPr/>
          <w:p>
            <w:pPr>
              <w:pStyle w:val="Compact"/>
            </w:pPr>
            <w:r>
              <w:t xml:space="preserve">reprogramação ECU Stage 1</w:t>
            </w:r>
          </w:p>
        </w:tc>
        <w:tc>
          <w:tcPr/>
          <w:p>
            <w:pPr>
              <w:pStyle w:val="Compact"/>
            </w:pPr>
            <w:r>
              <w:t xml:space="preserve">aumentar potência diesel, chip tuning Seixal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Stage 2</w:t>
            </w:r>
          </w:p>
        </w:tc>
        <w:tc>
          <w:tcPr/>
          <w:p>
            <w:pPr>
              <w:pStyle w:val="Compact"/>
            </w:pPr>
            <w:r>
              <w:t xml:space="preserve">afinação Stage 2</w:t>
            </w:r>
          </w:p>
        </w:tc>
        <w:tc>
          <w:tcPr/>
          <w:p>
            <w:pPr>
              <w:pStyle w:val="Compact"/>
            </w:pPr>
            <w:r>
              <w:t xml:space="preserve">preparação motor, mapa dedicado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Diagnóstico</w:t>
            </w:r>
          </w:p>
        </w:tc>
        <w:tc>
          <w:tcPr/>
          <w:p>
            <w:pPr>
              <w:pStyle w:val="Compact"/>
            </w:pPr>
            <w:r>
              <w:t xml:space="preserve">diagnóstico eletrónico automóvel</w:t>
            </w:r>
          </w:p>
        </w:tc>
        <w:tc>
          <w:tcPr/>
          <w:p>
            <w:pPr>
              <w:pStyle w:val="Compact"/>
            </w:pPr>
            <w:r>
              <w:t xml:space="preserve">avaria eletrónica carro, avaria intermitente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Emissões</w:t>
            </w:r>
          </w:p>
        </w:tc>
        <w:tc>
          <w:tcPr/>
          <w:p>
            <w:pPr>
              <w:pStyle w:val="Compact"/>
            </w:pPr>
            <w:r>
              <w:t xml:space="preserve">anular EGR AdBlue</w:t>
            </w:r>
          </w:p>
        </w:tc>
        <w:tc>
          <w:tcPr/>
          <w:p>
            <w:pPr>
              <w:pStyle w:val="Compact"/>
            </w:pPr>
            <w:r>
              <w:t xml:space="preserve">sensor NOx avaria, sonda lambda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Reparação ECU</w:t>
            </w:r>
          </w:p>
        </w:tc>
        <w:tc>
          <w:tcPr/>
          <w:p>
            <w:pPr>
              <w:pStyle w:val="Compact"/>
            </w:pPr>
            <w:r>
              <w:t xml:space="preserve">reparação centralina</w:t>
            </w:r>
          </w:p>
        </w:tc>
        <w:tc>
          <w:tcPr/>
          <w:p>
            <w:pPr>
              <w:pStyle w:val="Compact"/>
            </w:pPr>
            <w:r>
              <w:t xml:space="preserve">clonagem ECU, centralina avariada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Módulos</w:t>
            </w:r>
          </w:p>
        </w:tc>
        <w:tc>
          <w:tcPr/>
          <w:p>
            <w:pPr>
              <w:pStyle w:val="Compact"/>
            </w:pPr>
            <w:r>
              <w:t xml:space="preserve">codificação módulos automóvel</w:t>
            </w:r>
          </w:p>
        </w:tc>
        <w:tc>
          <w:tcPr/>
          <w:p>
            <w:pPr>
              <w:pStyle w:val="Compact"/>
            </w:pPr>
            <w:r>
              <w:t xml:space="preserve">programação módulo BMW, adaptação módulo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Profissionais</w:t>
            </w:r>
          </w:p>
        </w:tc>
        <w:tc>
          <w:tcPr/>
          <w:p>
            <w:pPr>
              <w:pStyle w:val="Compact"/>
            </w:pPr>
            <w:r>
              <w:t xml:space="preserve">apoio eletrónica para oficinas</w:t>
            </w:r>
          </w:p>
        </w:tc>
        <w:tc>
          <w:tcPr/>
          <w:p>
            <w:pPr>
              <w:pStyle w:val="Compact"/>
            </w:pPr>
            <w:r>
              <w:t xml:space="preserve">eletricidade automóvel Setúbal</w:t>
            </w:r>
          </w:p>
        </w:tc>
      </w:tr>
    </w:tbl>
    <w:bookmarkEnd w:id="71"/>
    <w:bookmarkStart w:id="72" w:name="títulos-e-descrições"/>
    <w:p>
      <w:pPr>
        <w:pStyle w:val="Heading2"/>
      </w:pPr>
      <w:r>
        <w:t xml:space="preserve">Títulos e descrições</w:t>
      </w:r>
    </w:p>
    <w:p>
      <w:pPr>
        <w:pStyle w:val="FirstParagraph"/>
      </w:pPr>
      <w:r>
        <w:t xml:space="preserve">Cada página define título com menos de 60 caracteres, incluindo a palavra-chave principal e o nome da marca, e descrição com menos de 160 caracteres com localização e proposta de valor. Nenhuma página herda o título de outra.</w:t>
      </w:r>
    </w:p>
    <w:bookmarkEnd w:id="72"/>
    <w:bookmarkStart w:id="73" w:name="dados-estruturados"/>
    <w:p>
      <w:pPr>
        <w:pStyle w:val="Heading2"/>
      </w:pPr>
      <w:r>
        <w:t xml:space="preserve">Dados estruturados</w:t>
      </w:r>
    </w:p>
    <w:p>
      <w:pPr>
        <w:pStyle w:val="Compact"/>
        <w:numPr>
          <w:ilvl w:val="0"/>
          <w:numId w:val="1015"/>
        </w:numPr>
      </w:pPr>
      <w:r>
        <w:t xml:space="preserve">AutoRepair / LocalBusiness na raiz, com morada, horário, área servida e contactos.</w:t>
      </w:r>
    </w:p>
    <w:p>
      <w:pPr>
        <w:pStyle w:val="Compact"/>
        <w:numPr>
          <w:ilvl w:val="0"/>
          <w:numId w:val="1015"/>
        </w:numPr>
      </w:pPr>
      <w:r>
        <w:t xml:space="preserve">Service em cada página de serviço, associada ao prestador.</w:t>
      </w:r>
    </w:p>
    <w:p>
      <w:pPr>
        <w:pStyle w:val="Compact"/>
        <w:numPr>
          <w:ilvl w:val="0"/>
          <w:numId w:val="1015"/>
        </w:numPr>
      </w:pPr>
      <w:r>
        <w:t xml:space="preserve">FAQPage na página de FAQ, com todas as perguntas e respostas.</w:t>
      </w:r>
    </w:p>
    <w:p>
      <w:pPr>
        <w:pStyle w:val="Compact"/>
        <w:numPr>
          <w:ilvl w:val="0"/>
          <w:numId w:val="1015"/>
        </w:numPr>
      </w:pPr>
      <w:r>
        <w:t xml:space="preserve">BreadcrumbList nas páginas de detalhe de serviço.</w:t>
      </w:r>
    </w:p>
    <w:bookmarkEnd w:id="73"/>
    <w:bookmarkStart w:id="74" w:name="higiene-técnica"/>
    <w:p>
      <w:pPr>
        <w:pStyle w:val="Heading2"/>
      </w:pPr>
      <w:r>
        <w:t xml:space="preserve">Higiene técnica</w:t>
      </w:r>
    </w:p>
    <w:p>
      <w:pPr>
        <w:pStyle w:val="Compact"/>
        <w:numPr>
          <w:ilvl w:val="0"/>
          <w:numId w:val="1016"/>
        </w:numPr>
      </w:pPr>
      <w:r>
        <w:t xml:space="preserve">Um único H1 por página, com hierarquia contínua.</w:t>
      </w:r>
    </w:p>
    <w:p>
      <w:pPr>
        <w:pStyle w:val="Compact"/>
        <w:numPr>
          <w:ilvl w:val="0"/>
          <w:numId w:val="1016"/>
        </w:numPr>
      </w:pPr>
      <w:r>
        <w:t xml:space="preserve">URL canónico auto-referente em todas as páginas.</w:t>
      </w:r>
    </w:p>
    <w:p>
      <w:pPr>
        <w:pStyle w:val="Compact"/>
        <w:numPr>
          <w:ilvl w:val="0"/>
          <w:numId w:val="1016"/>
        </w:numPr>
      </w:pPr>
      <w:r>
        <w:t xml:space="preserve">Open Graph e Twitter Card por página, com título e descrição próprios.</w:t>
      </w:r>
    </w:p>
    <w:p>
      <w:pPr>
        <w:pStyle w:val="Compact"/>
        <w:numPr>
          <w:ilvl w:val="0"/>
          <w:numId w:val="1016"/>
        </w:numPr>
      </w:pPr>
      <w:r>
        <w:t xml:space="preserve">robots.txt permissivo e sitemap.xml com todas as rotas públicas.</w:t>
      </w:r>
    </w:p>
    <w:p>
      <w:pPr>
        <w:pStyle w:val="Compact"/>
        <w:numPr>
          <w:ilvl w:val="0"/>
          <w:numId w:val="1016"/>
        </w:numPr>
      </w:pPr>
      <w:r>
        <w:t xml:space="preserve">Imagens com texto alternativo descritivo e carregamento diferido.</w:t>
      </w:r>
    </w:p>
    <w:p>
      <w:pPr>
        <w:pStyle w:val="Compact"/>
        <w:numPr>
          <w:ilvl w:val="0"/>
          <w:numId w:val="1016"/>
        </w:numPr>
      </w:pPr>
      <w:r>
        <w:t xml:space="preserve">Ligações internas contextuais entre serviços relacionados.</w:t>
      </w:r>
    </w:p>
    <w:bookmarkEnd w:id="74"/>
    <w:bookmarkStart w:id="75" w:name="presença-local"/>
    <w:p>
      <w:pPr>
        <w:pStyle w:val="Heading2"/>
      </w:pPr>
      <w:r>
        <w:t xml:space="preserve">Presença local</w:t>
      </w:r>
    </w:p>
    <w:p>
      <w:pPr>
        <w:pStyle w:val="FirstParagraph"/>
      </w:pPr>
      <w:r>
        <w:t xml:space="preserve">Perfil de empresa no Google atualizado com as mesmas categorias, morada e horário do website. Coerência absoluta de nome, morada e telefone em todos os diretórios. Recolha contínua de avaliações, com pedido feito na entrega da viatura.</w:t>
      </w:r>
    </w:p>
    <w:bookmarkEnd w:id="75"/>
    <w:bookmarkEnd w:id="76"/>
    <w:bookmarkStart w:id="87" w:name="faq-oficial"/>
    <w:p>
      <w:pPr>
        <w:pStyle w:val="Heading1"/>
      </w:pPr>
      <w:r>
        <w:t xml:space="preserve">12. FAQ oficial</w:t>
      </w:r>
    </w:p>
    <w:p>
      <w:pPr>
        <w:pStyle w:val="FirstParagraph"/>
      </w:pPr>
      <w:r>
        <w:t xml:space="preserve">As dez perguntas seguintes constituem a versão oficial. São simultaneamente conteúdo de página, dados estruturados FAQPage e base de conhecimento do agente de IA. Qualquer alteração deve ser feita nos três locais em simultâneo.</w:t>
      </w:r>
    </w:p>
    <w:bookmarkStart w:id="77" w:name="a-reprogramação-da-ecu-danifica-o-motor"/>
    <w:p>
      <w:pPr>
        <w:pStyle w:val="Heading2"/>
      </w:pPr>
      <w:r>
        <w:t xml:space="preserve">A reprogramação da ECU danifica o motor?</w:t>
      </w:r>
    </w:p>
    <w:p>
      <w:pPr>
        <w:pStyle w:val="FirstParagraph"/>
      </w:pPr>
      <w:r>
        <w:t xml:space="preserve">Não, quando é feita dentro das margens mecânicas da viatura. Todos os motores saem de fábrica com folga de calibração por razões comerciais, logísticas e de mercado. O nosso trabalho é usar parte dessa folga mantendo pressões, temperaturas e misturas em valores seguros — e recusar o trabalho quando o estado mecânico não o permite.</w:t>
      </w:r>
    </w:p>
    <w:bookmarkEnd w:id="77"/>
    <w:bookmarkStart w:id="78" w:name="consigo-voltar-ao-ficheiro-de-origem"/>
    <w:p>
      <w:pPr>
        <w:pStyle w:val="Heading2"/>
      </w:pPr>
      <w:r>
        <w:t xml:space="preserve">Consigo voltar ao ficheiro de origem?</w:t>
      </w:r>
    </w:p>
    <w:p>
      <w:pPr>
        <w:pStyle w:val="FirstParagraph"/>
      </w:pPr>
      <w:r>
        <w:t xml:space="preserve">Sim. O ficheiro original é lido e arquivado antes de qualquer alteração. A reposição pode ser feita a qualquer momento.</w:t>
      </w:r>
    </w:p>
    <w:bookmarkEnd w:id="78"/>
    <w:bookmarkStart w:id="79" w:name="quanto-tempo-demora-um-stage-1"/>
    <w:p>
      <w:pPr>
        <w:pStyle w:val="Heading2"/>
      </w:pPr>
      <w:r>
        <w:t xml:space="preserve">Quanto tempo demora um Stage 1?</w:t>
      </w:r>
    </w:p>
    <w:p>
      <w:pPr>
        <w:pStyle w:val="FirstParagraph"/>
      </w:pPr>
      <w:r>
        <w:t xml:space="preserve">Entre 2 e 4 horas, incluindo diagnóstico prévio, calibração e teste em estrada com registo de dados. Marcações de manhã são normalmente entregues no mesmo dia.</w:t>
      </w:r>
    </w:p>
    <w:bookmarkEnd w:id="79"/>
    <w:bookmarkStart w:id="80" w:name="o-consumo-aumenta"/>
    <w:p>
      <w:pPr>
        <w:pStyle w:val="Heading2"/>
      </w:pPr>
      <w:r>
        <w:t xml:space="preserve">O consumo aumenta?</w:t>
      </w:r>
    </w:p>
    <w:p>
      <w:pPr>
        <w:pStyle w:val="FirstParagraph"/>
      </w:pPr>
      <w:r>
        <w:t xml:space="preserve">Em condução normal, o consumo tende a manter-se ou a descer ligeiramente, porque o motor precisa de menos esforço para o mesmo desempenho. Em condução desportiva, o consumo acompanha a utilização.</w:t>
      </w:r>
    </w:p>
    <w:bookmarkEnd w:id="80"/>
    <w:bookmarkStart w:id="81" w:name="trabalham-com-que-marcas"/>
    <w:p>
      <w:pPr>
        <w:pStyle w:val="Heading2"/>
      </w:pPr>
      <w:r>
        <w:t xml:space="preserve">Trabalham com que marcas?</w:t>
      </w:r>
    </w:p>
    <w:p>
      <w:pPr>
        <w:pStyle w:val="FirstParagraph"/>
      </w:pPr>
      <w:r>
        <w:t xml:space="preserve">Especializamo-nos em marcas europeias — BMW, Mercedes-Benz, Audi, Volkswagen, Seat, Skoda, Porsche, entre outras — mas trabalhamos com a generalidade dos construtores. Confirme o seu modelo através do formulário de orçamento.</w:t>
      </w:r>
    </w:p>
    <w:bookmarkEnd w:id="81"/>
    <w:bookmarkStart w:id="82" w:name="X3b3daf23e5fd6b327773e68b2e87dbf4c7b6a45"/>
    <w:p>
      <w:pPr>
        <w:pStyle w:val="Heading2"/>
      </w:pPr>
      <w:r>
        <w:t xml:space="preserve">A minha viatura tem uma avaria que nenhuma oficina resolveu. Conseguem ajudar?</w:t>
      </w:r>
    </w:p>
    <w:p>
      <w:pPr>
        <w:pStyle w:val="FirstParagraph"/>
      </w:pPr>
      <w:r>
        <w:t xml:space="preserve">É um dos motivos mais frequentes pelos quais nos procuram. O diagnóstico avançado combina equipamento original, análise dos barramentos de comunicação e medição elétrica direta para identificar a causa e não apenas o sintoma. Entregamos o resultado por escrito, mesmo que a reparação seja feita noutro local.</w:t>
      </w:r>
    </w:p>
    <w:bookmarkEnd w:id="82"/>
    <w:bookmarkStart w:id="83" w:name="reparam-centralinas-ou-apenas-substituem"/>
    <w:p>
      <w:pPr>
        <w:pStyle w:val="Heading2"/>
      </w:pPr>
      <w:r>
        <w:t xml:space="preserve">Reparam centralinas ou apenas substituem?</w:t>
      </w:r>
    </w:p>
    <w:p>
      <w:pPr>
        <w:pStyle w:val="FirstParagraph"/>
      </w:pPr>
      <w:r>
        <w:t xml:space="preserve">Reparamos ao nível do componente sempre que for tecnicamente correto e seguro. Quando a unidade não é recuperável, clonamos os dados para uma unidade compatível — o que evita o custo de uma centralina nova e a programação de raiz.</w:t>
      </w:r>
    </w:p>
    <w:bookmarkEnd w:id="83"/>
    <w:bookmarkStart w:id="84" w:name="Xa205274a8518dee9d870bd58c444eaadf9d1a79"/>
    <w:p>
      <w:pPr>
        <w:pStyle w:val="Heading2"/>
      </w:pPr>
      <w:r>
        <w:t xml:space="preserve">Trabalham com oficinas e profissionais do setor?</w:t>
      </w:r>
    </w:p>
    <w:p>
      <w:pPr>
        <w:pStyle w:val="FirstParagraph"/>
      </w:pPr>
      <w:r>
        <w:t xml:space="preserve">Sim. Prestamos apoio técnico a oficinas mecânicas e de eletricidade auto, stands, preparadores e empresas com frotas, com condições e prazos definidos para trabalho recorrente.</w:t>
      </w:r>
    </w:p>
    <w:bookmarkEnd w:id="84"/>
    <w:bookmarkStart w:id="85" w:name="onde-estão-localizados"/>
    <w:p>
      <w:pPr>
        <w:pStyle w:val="Heading2"/>
      </w:pPr>
      <w:r>
        <w:t xml:space="preserve">Onde estão localizados?</w:t>
      </w:r>
    </w:p>
    <w:p>
      <w:pPr>
        <w:pStyle w:val="FirstParagraph"/>
      </w:pPr>
      <w:r>
        <w:t xml:space="preserve">Em Corroios, Seixal, distrito de Setúbal. Recebemos viaturas de toda a Península de Setúbal e da Grande Lisboa por marcação.</w:t>
      </w:r>
    </w:p>
    <w:bookmarkEnd w:id="85"/>
    <w:bookmarkStart w:id="86" w:name="como-funciona-o-orçamento"/>
    <w:p>
      <w:pPr>
        <w:pStyle w:val="Heading2"/>
      </w:pPr>
      <w:r>
        <w:t xml:space="preserve">Como funciona o orçamento?</w:t>
      </w:r>
    </w:p>
    <w:p>
      <w:pPr>
        <w:pStyle w:val="FirstParagraph"/>
      </w:pPr>
      <w:r>
        <w:t xml:space="preserve">O orçamento é sempre dado após enquadramento técnico do caso. Preencha o formulário com a marca, modelo, motor, ano e descrição do que pretende, e respondemos com uma proposta concreta e o tempo de intervenção estimado.</w:t>
      </w:r>
    </w:p>
    <w:bookmarkEnd w:id="86"/>
    <w:bookmarkEnd w:id="87"/>
    <w:bookmarkStart w:id="92" w:name="jornada-e-experiência-do-utilizador"/>
    <w:p>
      <w:pPr>
        <w:pStyle w:val="Heading1"/>
      </w:pPr>
      <w:r>
        <w:t xml:space="preserve">13. Jornada e experiência do utilizador</w:t>
      </w:r>
    </w:p>
    <w:bookmarkStart w:id="88" w:name="segmentos-e-jornadas"/>
    <w:p>
      <w:pPr>
        <w:pStyle w:val="Heading2"/>
      </w:pPr>
      <w:r>
        <w:t xml:space="preserve">Segmentos e jornadas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Segmento</w:t>
            </w:r>
          </w:p>
        </w:tc>
        <w:tc>
          <w:tcPr/>
          <w:p>
            <w:pPr>
              <w:pStyle w:val="Compact"/>
            </w:pPr>
            <w:r>
              <w:t xml:space="preserve">Gatilho</w:t>
            </w:r>
          </w:p>
        </w:tc>
        <w:tc>
          <w:tcPr/>
          <w:p>
            <w:pPr>
              <w:pStyle w:val="Compact"/>
            </w:pPr>
            <w:r>
              <w:t xml:space="preserve">Percurso</w:t>
            </w:r>
          </w:p>
        </w:tc>
        <w:tc>
          <w:tcPr/>
          <w:p>
            <w:pPr>
              <w:pStyle w:val="Compact"/>
            </w:pPr>
            <w:r>
              <w:t xml:space="preserve">Conversão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Entusiasta de desempenho</w:t>
            </w:r>
          </w:p>
        </w:tc>
        <w:tc>
          <w:tcPr/>
          <w:p>
            <w:pPr>
              <w:pStyle w:val="Compact"/>
            </w:pPr>
            <w:r>
              <w:t xml:space="preserve">Quer mais potência</w:t>
            </w:r>
          </w:p>
        </w:tc>
        <w:tc>
          <w:tcPr/>
          <w:p>
            <w:pPr>
              <w:pStyle w:val="Compact"/>
            </w:pPr>
            <w:r>
              <w:t xml:space="preserve">Início → Stage 1 → Processo → Contactos</w:t>
            </w:r>
          </w:p>
        </w:tc>
        <w:tc>
          <w:tcPr/>
          <w:p>
            <w:pPr>
              <w:pStyle w:val="Compact"/>
            </w:pPr>
            <w:r>
              <w:t xml:space="preserve">Orçamento com dados da viatura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Proprietário com avaria</w:t>
            </w:r>
          </w:p>
        </w:tc>
        <w:tc>
          <w:tcPr/>
          <w:p>
            <w:pPr>
              <w:pStyle w:val="Compact"/>
            </w:pPr>
            <w:r>
              <w:t xml:space="preserve">Luz de avaria ou falha</w:t>
            </w:r>
          </w:p>
        </w:tc>
        <w:tc>
          <w:tcPr/>
          <w:p>
            <w:pPr>
              <w:pStyle w:val="Compact"/>
            </w:pPr>
            <w:r>
              <w:t xml:space="preserve">Pesquisa → Diagnóstico → FAQ → Contactos</w:t>
            </w:r>
          </w:p>
        </w:tc>
        <w:tc>
          <w:tcPr/>
          <w:p>
            <w:pPr>
              <w:pStyle w:val="Compact"/>
            </w:pPr>
            <w:r>
              <w:t xml:space="preserve">Marcação de diagnóstico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Proprietário frustrado</w:t>
            </w:r>
          </w:p>
        </w:tc>
        <w:tc>
          <w:tcPr/>
          <w:p>
            <w:pPr>
              <w:pStyle w:val="Compact"/>
            </w:pPr>
            <w:r>
              <w:t xml:space="preserve">Já passou por outra oficina</w:t>
            </w:r>
          </w:p>
        </w:tc>
        <w:tc>
          <w:tcPr/>
          <w:p>
            <w:pPr>
              <w:pStyle w:val="Compact"/>
            </w:pPr>
            <w:r>
              <w:t xml:space="preserve">Pesquisa → Diagnóstico → Sobre → Contactos</w:t>
            </w:r>
          </w:p>
        </w:tc>
        <w:tc>
          <w:tcPr/>
          <w:p>
            <w:pPr>
              <w:pStyle w:val="Compact"/>
            </w:pPr>
            <w:r>
              <w:t xml:space="preserve">Segunda opinião técnica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Profissional do setor</w:t>
            </w:r>
          </w:p>
        </w:tc>
        <w:tc>
          <w:tcPr/>
          <w:p>
            <w:pPr>
              <w:pStyle w:val="Compact"/>
            </w:pPr>
            <w:r>
              <w:t xml:space="preserve">Caso fora do seu alcance</w:t>
            </w:r>
          </w:p>
        </w:tc>
        <w:tc>
          <w:tcPr/>
          <w:p>
            <w:pPr>
              <w:pStyle w:val="Compact"/>
            </w:pPr>
            <w:r>
              <w:t xml:space="preserve">Início → Profissionais → Contactos</w:t>
            </w:r>
          </w:p>
        </w:tc>
        <w:tc>
          <w:tcPr/>
          <w:p>
            <w:pPr>
              <w:pStyle w:val="Compact"/>
            </w:pPr>
            <w:r>
              <w:t xml:space="preserve">Contacto como empresa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Frota</w:t>
            </w:r>
          </w:p>
        </w:tc>
        <w:tc>
          <w:tcPr/>
          <w:p>
            <w:pPr>
              <w:pStyle w:val="Compact"/>
            </w:pPr>
            <w:r>
              <w:t xml:space="preserve">Imobilizações recorrentes</w:t>
            </w:r>
          </w:p>
        </w:tc>
        <w:tc>
          <w:tcPr/>
          <w:p>
            <w:pPr>
              <w:pStyle w:val="Compact"/>
            </w:pPr>
            <w:r>
              <w:t xml:space="preserve">Profissionais → Contactos</w:t>
            </w:r>
          </w:p>
        </w:tc>
        <w:tc>
          <w:tcPr/>
          <w:p>
            <w:pPr>
              <w:pStyle w:val="Compact"/>
            </w:pPr>
            <w:r>
              <w:t xml:space="preserve">Pedido de condições</w:t>
            </w:r>
          </w:p>
        </w:tc>
      </w:tr>
    </w:tbl>
    <w:bookmarkEnd w:id="88"/>
    <w:bookmarkStart w:id="89" w:name="formulário-de-orçamento"/>
    <w:p>
      <w:pPr>
        <w:pStyle w:val="Heading2"/>
      </w:pPr>
      <w:r>
        <w:t xml:space="preserve">Formulário de orçamento</w:t>
      </w:r>
    </w:p>
    <w:p>
      <w:pPr>
        <w:pStyle w:val="FirstParagraph"/>
      </w:pPr>
      <w:r>
        <w:t xml:space="preserve">Campos: nome, contacto telefónico, email, marca, modelo, motor e potência, ano, tipo de cliente (particular ou profissional), serviço pretendido e descrição livre. Todos os campos essenciais, sem passos múltiplos: um único ecrã reduz abandono e o público está disposto a escrever quando percebe que a resposta será técnica.</w:t>
      </w:r>
    </w:p>
    <w:bookmarkEnd w:id="89"/>
    <w:bookmarkStart w:id="90" w:name="princípios-de-conversão"/>
    <w:p>
      <w:pPr>
        <w:pStyle w:val="Heading2"/>
      </w:pPr>
      <w:r>
        <w:t xml:space="preserve">Princípios de conversão</w:t>
      </w:r>
    </w:p>
    <w:p>
      <w:pPr>
        <w:pStyle w:val="Compact"/>
        <w:numPr>
          <w:ilvl w:val="0"/>
          <w:numId w:val="1017"/>
        </w:numPr>
      </w:pPr>
      <w:r>
        <w:t xml:space="preserve">Nunca apresentar preço antes de enquadramento. É posicionamento, não omissão.</w:t>
      </w:r>
    </w:p>
    <w:p>
      <w:pPr>
        <w:pStyle w:val="Compact"/>
        <w:numPr>
          <w:ilvl w:val="0"/>
          <w:numId w:val="1017"/>
        </w:numPr>
      </w:pPr>
      <w:r>
        <w:t xml:space="preserve">Definir sempre o que acontece a seguir e em que prazo.</w:t>
      </w:r>
    </w:p>
    <w:p>
      <w:pPr>
        <w:pStyle w:val="Compact"/>
        <w:numPr>
          <w:ilvl w:val="0"/>
          <w:numId w:val="1017"/>
        </w:numPr>
      </w:pPr>
      <w:r>
        <w:t xml:space="preserve">Oferecer canal alternativo: telefone e, em fase seguinte, WhatsApp.</w:t>
      </w:r>
    </w:p>
    <w:p>
      <w:pPr>
        <w:pStyle w:val="Compact"/>
        <w:numPr>
          <w:ilvl w:val="0"/>
          <w:numId w:val="1017"/>
        </w:numPr>
      </w:pPr>
      <w:r>
        <w:t xml:space="preserve">Nenhuma janela sobreposta, contagem decrescente ou incentivo artificial.</w:t>
      </w:r>
    </w:p>
    <w:p>
      <w:pPr>
        <w:pStyle w:val="Compact"/>
        <w:numPr>
          <w:ilvl w:val="0"/>
          <w:numId w:val="1017"/>
        </w:numPr>
      </w:pPr>
      <w:r>
        <w:t xml:space="preserve">Validação de formulário imediata e mensagens de erro específicas por campo.</w:t>
      </w:r>
    </w:p>
    <w:bookmarkEnd w:id="90"/>
    <w:bookmarkStart w:id="91" w:name="desempenho"/>
    <w:p>
      <w:pPr>
        <w:pStyle w:val="Heading2"/>
      </w:pPr>
      <w:r>
        <w:t xml:space="preserve">Desempenho</w:t>
      </w:r>
    </w:p>
    <w:p>
      <w:pPr>
        <w:pStyle w:val="Compact"/>
        <w:numPr>
          <w:ilvl w:val="0"/>
          <w:numId w:val="1018"/>
        </w:numPr>
      </w:pPr>
      <w:r>
        <w:t xml:space="preserve">Maior conteúdo visível abaixo de 2,5 segundos em rede móvel.</w:t>
      </w:r>
    </w:p>
    <w:p>
      <w:pPr>
        <w:pStyle w:val="Compact"/>
        <w:numPr>
          <w:ilvl w:val="0"/>
          <w:numId w:val="1018"/>
        </w:numPr>
      </w:pPr>
      <w:r>
        <w:t xml:space="preserve">Deslocamento cumulativo de layout inferior a 0,1, com dimensões declaradas em todas as imagens.</w:t>
      </w:r>
    </w:p>
    <w:p>
      <w:pPr>
        <w:pStyle w:val="Compact"/>
        <w:numPr>
          <w:ilvl w:val="0"/>
          <w:numId w:val="1018"/>
        </w:numPr>
      </w:pPr>
      <w:r>
        <w:t xml:space="preserve">Tipografia carregada com display swap e pré-ligação aos servidores de fontes.</w:t>
      </w:r>
    </w:p>
    <w:bookmarkEnd w:id="91"/>
    <w:bookmarkEnd w:id="92"/>
    <w:bookmarkStart w:id="100" w:name="Xe4e0d5918ea60e0ce8054ba3024ddc15af66738"/>
    <w:p>
      <w:pPr>
        <w:pStyle w:val="Heading1"/>
      </w:pPr>
      <w:r>
        <w:t xml:space="preserve">14. Estrutura do agente de inteligência artificial</w:t>
      </w:r>
    </w:p>
    <w:bookmarkStart w:id="93" w:name="identidade"/>
    <w:p>
      <w:pPr>
        <w:pStyle w:val="Heading2"/>
      </w:pPr>
      <w:r>
        <w:t xml:space="preserve">Identidade</w:t>
      </w:r>
    </w:p>
    <w:p>
      <w:pPr>
        <w:pStyle w:val="FirstParagraph"/>
      </w:pPr>
      <w:r>
        <w:t xml:space="preserve">Nome: Assistente Técnico JS. Papel: primeiro nível de atendimento técnico, disponível a qualquer hora, com o objetivo de qualificar o pedido e preparar a resposta humana. Não substitui o técnico — prepara-lhe o terreno.</w:t>
      </w:r>
    </w:p>
    <w:bookmarkEnd w:id="93"/>
    <w:bookmarkStart w:id="94" w:name="personalidade"/>
    <w:p>
      <w:pPr>
        <w:pStyle w:val="Heading2"/>
      </w:pPr>
      <w:r>
        <w:t xml:space="preserve">Personalidade</w:t>
      </w:r>
    </w:p>
    <w:p>
      <w:pPr>
        <w:pStyle w:val="FirstParagraph"/>
      </w:pPr>
      <w:r>
        <w:t xml:space="preserve">A mesma voz da marca: especialista sereno. Frases curtas, sem exclamações, sem emojis, sem entusiasmo artificial. Trata o utilizador com formalidade próxima. Admite quando não sabe.</w:t>
      </w:r>
    </w:p>
    <w:bookmarkEnd w:id="94"/>
    <w:bookmarkStart w:id="95" w:name="objetivos-por-ordem-de-prioridade"/>
    <w:p>
      <w:pPr>
        <w:pStyle w:val="Heading2"/>
      </w:pPr>
      <w:r>
        <w:t xml:space="preserve">Objetivos por ordem de prioridade</w:t>
      </w:r>
    </w:p>
    <w:p>
      <w:pPr>
        <w:pStyle w:val="Compact"/>
        <w:numPr>
          <w:ilvl w:val="0"/>
          <w:numId w:val="1019"/>
        </w:numPr>
      </w:pPr>
      <w:r>
        <w:t xml:space="preserve">Compreender o caso: marca, modelo, motor, ano, sintoma ou objetivo.</w:t>
      </w:r>
    </w:p>
    <w:p>
      <w:pPr>
        <w:pStyle w:val="Compact"/>
        <w:numPr>
          <w:ilvl w:val="0"/>
          <w:numId w:val="1019"/>
        </w:numPr>
      </w:pPr>
      <w:r>
        <w:t xml:space="preserve">Responder a dúvidas cobertas pela base de conhecimento.</w:t>
      </w:r>
    </w:p>
    <w:p>
      <w:pPr>
        <w:pStyle w:val="Compact"/>
        <w:numPr>
          <w:ilvl w:val="0"/>
          <w:numId w:val="1019"/>
        </w:numPr>
      </w:pPr>
      <w:r>
        <w:t xml:space="preserve">Qualificar o contacto como particular ou profissional.</w:t>
      </w:r>
    </w:p>
    <w:p>
      <w:pPr>
        <w:pStyle w:val="Compact"/>
        <w:numPr>
          <w:ilvl w:val="0"/>
          <w:numId w:val="1019"/>
        </w:numPr>
      </w:pPr>
      <w:r>
        <w:t xml:space="preserve">Recolher dados de contacto e encaminhar para a equipa.</w:t>
      </w:r>
    </w:p>
    <w:p>
      <w:pPr>
        <w:pStyle w:val="Compact"/>
        <w:numPr>
          <w:ilvl w:val="0"/>
          <w:numId w:val="1019"/>
        </w:numPr>
      </w:pPr>
      <w:r>
        <w:t xml:space="preserve">Marcar intervenção quando o caso é claro.</w:t>
      </w:r>
    </w:p>
    <w:bookmarkEnd w:id="95"/>
    <w:bookmarkStart w:id="96" w:name="guardrails-obrigatórios"/>
    <w:p>
      <w:pPr>
        <w:pStyle w:val="Heading2"/>
      </w:pPr>
      <w:r>
        <w:t xml:space="preserve">Guardrails obrigatórios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Regra</w:t>
            </w:r>
          </w:p>
        </w:tc>
        <w:tc>
          <w:tcPr/>
          <w:p>
            <w:pPr>
              <w:pStyle w:val="Compact"/>
            </w:pPr>
            <w:r>
              <w:t xml:space="preserve">Comportamento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Nunca indicar preços</w:t>
            </w:r>
          </w:p>
        </w:tc>
        <w:tc>
          <w:tcPr/>
          <w:p>
            <w:pPr>
              <w:pStyle w:val="Compact"/>
            </w:pPr>
            <w:r>
              <w:t xml:space="preserve">“O valor é definido após enquadramento técnico do caso. Recolho os dados e a equipa responde com uma proposta concreta.”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Nunca prometer ganhos exatos</w:t>
            </w:r>
          </w:p>
        </w:tc>
        <w:tc>
          <w:tcPr/>
          <w:p>
            <w:pPr>
              <w:pStyle w:val="Compact"/>
            </w:pPr>
            <w:r>
              <w:t xml:space="preserve">Apresentar sempre intervalos e condicionar ao estado mecânico da viatura.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Nunca diagnosticar à distância</w:t>
            </w:r>
          </w:p>
        </w:tc>
        <w:tc>
          <w:tcPr/>
          <w:p>
            <w:pPr>
              <w:pStyle w:val="Compact"/>
            </w:pPr>
            <w:r>
              <w:t xml:space="preserve">Levantar hipóteses, nunca conclusões. A causa determina-se na oficina.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Nunca aconselhar sobre legalidade</w:t>
            </w:r>
          </w:p>
        </w:tc>
        <w:tc>
          <w:tcPr/>
          <w:p>
            <w:pPr>
              <w:pStyle w:val="Compact"/>
            </w:pPr>
            <w:r>
              <w:t xml:space="preserve">Encaminhar para a equipa qualquer questão de inspeção ou enquadramento legal.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Nunca inventar</w:t>
            </w:r>
          </w:p>
        </w:tc>
        <w:tc>
          <w:tcPr/>
          <w:p>
            <w:pPr>
              <w:pStyle w:val="Compact"/>
            </w:pPr>
            <w:r>
              <w:t xml:space="preserve">Se não está na base de conhecimento, encaminha para a equipa.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Escalar sempre que</w:t>
            </w:r>
          </w:p>
        </w:tc>
        <w:tc>
          <w:tcPr/>
          <w:p>
            <w:pPr>
              <w:pStyle w:val="Compact"/>
            </w:pPr>
            <w:r>
              <w:t xml:space="preserve">Reclamação, urgência, garantia, pedido explícito de pessoa, ou três trocas sem progresso.</w:t>
            </w:r>
          </w:p>
        </w:tc>
      </w:tr>
    </w:tbl>
    <w:bookmarkEnd w:id="96"/>
    <w:bookmarkStart w:id="97" w:name="fluxo-de-conversa"/>
    <w:p>
      <w:pPr>
        <w:pStyle w:val="Heading2"/>
      </w:pPr>
      <w:r>
        <w:t xml:space="preserve">Fluxo de conversa</w:t>
      </w:r>
    </w:p>
    <w:p>
      <w:pPr>
        <w:pStyle w:val="Compact"/>
        <w:numPr>
          <w:ilvl w:val="0"/>
          <w:numId w:val="1020"/>
        </w:numPr>
      </w:pPr>
      <w:r>
        <w:t xml:space="preserve">Abertura: identificação e pergunta única sobre o objetivo.</w:t>
      </w:r>
    </w:p>
    <w:p>
      <w:pPr>
        <w:pStyle w:val="Compact"/>
        <w:numPr>
          <w:ilvl w:val="0"/>
          <w:numId w:val="1020"/>
        </w:numPr>
      </w:pPr>
      <w:r>
        <w:t xml:space="preserve">Recolha: viatura e sintoma ou objetivo, uma pergunta de cada vez.</w:t>
      </w:r>
    </w:p>
    <w:p>
      <w:pPr>
        <w:pStyle w:val="Compact"/>
        <w:numPr>
          <w:ilvl w:val="0"/>
          <w:numId w:val="1020"/>
        </w:numPr>
      </w:pPr>
      <w:r>
        <w:t xml:space="preserve">Enquadramento: explicação do serviço aplicável, método e duração típica.</w:t>
      </w:r>
    </w:p>
    <w:p>
      <w:pPr>
        <w:pStyle w:val="Compact"/>
        <w:numPr>
          <w:ilvl w:val="0"/>
          <w:numId w:val="1020"/>
        </w:numPr>
      </w:pPr>
      <w:r>
        <w:t xml:space="preserve">Qualificação: particular ou profissional.</w:t>
      </w:r>
    </w:p>
    <w:p>
      <w:pPr>
        <w:pStyle w:val="Compact"/>
        <w:numPr>
          <w:ilvl w:val="0"/>
          <w:numId w:val="1020"/>
        </w:numPr>
      </w:pPr>
      <w:r>
        <w:t xml:space="preserve">Fecho: recolha de contacto e confirmação do que acontece a seguir.</w:t>
      </w:r>
    </w:p>
    <w:p>
      <w:pPr>
        <w:pStyle w:val="Compact"/>
        <w:numPr>
          <w:ilvl w:val="0"/>
          <w:numId w:val="1020"/>
        </w:numPr>
      </w:pPr>
      <w:r>
        <w:t xml:space="preserve">Registo: resumo estruturado do caso entregue à equipa.</w:t>
      </w:r>
    </w:p>
    <w:bookmarkEnd w:id="97"/>
    <w:bookmarkStart w:id="98" w:name="regras-de-conversa"/>
    <w:p>
      <w:pPr>
        <w:pStyle w:val="Heading2"/>
      </w:pPr>
      <w:r>
        <w:t xml:space="preserve">Regras de conversa</w:t>
      </w:r>
    </w:p>
    <w:p>
      <w:pPr>
        <w:pStyle w:val="Compact"/>
        <w:numPr>
          <w:ilvl w:val="0"/>
          <w:numId w:val="1021"/>
        </w:numPr>
      </w:pPr>
      <w:r>
        <w:t xml:space="preserve">Uma pergunta por mensagem. Nunca questionários.</w:t>
      </w:r>
    </w:p>
    <w:p>
      <w:pPr>
        <w:pStyle w:val="Compact"/>
        <w:numPr>
          <w:ilvl w:val="0"/>
          <w:numId w:val="1021"/>
        </w:numPr>
      </w:pPr>
      <w:r>
        <w:t xml:space="preserve">Resposta com máximo de cinco linhas.</w:t>
      </w:r>
    </w:p>
    <w:p>
      <w:pPr>
        <w:pStyle w:val="Compact"/>
        <w:numPr>
          <w:ilvl w:val="0"/>
          <w:numId w:val="1021"/>
        </w:numPr>
      </w:pPr>
      <w:r>
        <w:t xml:space="preserve">Reformular a informação recolhida antes de fechar, para confirmação.</w:t>
      </w:r>
    </w:p>
    <w:p>
      <w:pPr>
        <w:pStyle w:val="Compact"/>
        <w:numPr>
          <w:ilvl w:val="0"/>
          <w:numId w:val="1021"/>
        </w:numPr>
      </w:pPr>
      <w:r>
        <w:t xml:space="preserve">Não repetir informação já dada pelo utilizador.</w:t>
      </w:r>
    </w:p>
    <w:bookmarkEnd w:id="98"/>
    <w:bookmarkStart w:id="99" w:name="métricas-do-agente"/>
    <w:p>
      <w:pPr>
        <w:pStyle w:val="Heading2"/>
      </w:pPr>
      <w:r>
        <w:t xml:space="preserve">Métricas do agente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Métrica</w:t>
            </w:r>
          </w:p>
        </w:tc>
        <w:tc>
          <w:tcPr/>
          <w:p>
            <w:pPr>
              <w:pStyle w:val="Compact"/>
            </w:pPr>
            <w:r>
              <w:t xml:space="preserve">Meta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Conversas com dados completos de viatura</w:t>
            </w:r>
          </w:p>
        </w:tc>
        <w:tc>
          <w:tcPr/>
          <w:p>
            <w:pPr>
              <w:pStyle w:val="Compact"/>
            </w:pPr>
            <w:r>
              <w:t xml:space="preserve">≥ 70%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Conversas convertidas em contacto qualificado</w:t>
            </w:r>
          </w:p>
        </w:tc>
        <w:tc>
          <w:tcPr/>
          <w:p>
            <w:pPr>
              <w:pStyle w:val="Compact"/>
            </w:pPr>
            <w:r>
              <w:t xml:space="preserve">≥ 35%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Escalonamentos corretos para humano</w:t>
            </w:r>
          </w:p>
        </w:tc>
        <w:tc>
          <w:tcPr/>
          <w:p>
            <w:pPr>
              <w:pStyle w:val="Compact"/>
            </w:pPr>
            <w:r>
              <w:t xml:space="preserve">100% dos casos previstos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Respostas fora da base de conhecimento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</w:tbl>
    <w:bookmarkEnd w:id="99"/>
    <w:bookmarkEnd w:id="100"/>
    <w:bookmarkStart w:id="104" w:name="base-de-conhecimento-do-agente"/>
    <w:p>
      <w:pPr>
        <w:pStyle w:val="Heading1"/>
      </w:pPr>
      <w:r>
        <w:t xml:space="preserve">15. Base de conhecimento do agente</w:t>
      </w:r>
    </w:p>
    <w:p>
      <w:pPr>
        <w:pStyle w:val="FirstParagraph"/>
      </w:pPr>
      <w:r>
        <w:t xml:space="preserve">A base de conhecimento é composta exclusivamente por conteúdo já aprovado neste documento. Não existe conhecimento paralelo.</w:t>
      </w:r>
    </w:p>
    <w:bookmarkStart w:id="101" w:name="fontes"/>
    <w:p>
      <w:pPr>
        <w:pStyle w:val="Heading2"/>
      </w:pPr>
      <w:r>
        <w:t xml:space="preserve">Fontes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Bloco</w:t>
            </w:r>
          </w:p>
        </w:tc>
        <w:tc>
          <w:tcPr/>
          <w:p>
            <w:pPr>
              <w:pStyle w:val="Compact"/>
            </w:pPr>
            <w:r>
              <w:t xml:space="preserve">Origem</w:t>
            </w:r>
          </w:p>
        </w:tc>
        <w:tc>
          <w:tcPr/>
          <w:p>
            <w:pPr>
              <w:pStyle w:val="Compact"/>
            </w:pPr>
            <w:r>
              <w:t xml:space="preserve">Atualização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Identidade e tom</w:t>
            </w:r>
          </w:p>
        </w:tc>
        <w:tc>
          <w:tcPr/>
          <w:p>
            <w:pPr>
              <w:pStyle w:val="Compact"/>
            </w:pPr>
            <w:r>
              <w:t xml:space="preserve">Capítulos 2 e 4</w:t>
            </w:r>
          </w:p>
        </w:tc>
        <w:tc>
          <w:tcPr/>
          <w:p>
            <w:pPr>
              <w:pStyle w:val="Compact"/>
            </w:pPr>
            <w:r>
              <w:t xml:space="preserve">A cada revisão de marca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Catálogo de serviços</w:t>
            </w:r>
          </w:p>
        </w:tc>
        <w:tc>
          <w:tcPr/>
          <w:p>
            <w:pPr>
              <w:pStyle w:val="Compact"/>
            </w:pPr>
            <w:r>
              <w:t xml:space="preserve">Capítulo 7 e páginas de serviço</w:t>
            </w:r>
          </w:p>
        </w:tc>
        <w:tc>
          <w:tcPr/>
          <w:p>
            <w:pPr>
              <w:pStyle w:val="Compact"/>
            </w:pPr>
            <w:r>
              <w:t xml:space="preserve">A cada alteração de oferta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Método de trabalho</w:t>
            </w:r>
          </w:p>
        </w:tc>
        <w:tc>
          <w:tcPr/>
          <w:p>
            <w:pPr>
              <w:pStyle w:val="Compact"/>
            </w:pPr>
            <w:r>
              <w:t xml:space="preserve">Capítulo 13 e página Processo</w:t>
            </w:r>
          </w:p>
        </w:tc>
        <w:tc>
          <w:tcPr/>
          <w:p>
            <w:pPr>
              <w:pStyle w:val="Compact"/>
            </w:pPr>
            <w:r>
              <w:t xml:space="preserve">Semestral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Perguntas frequentes</w:t>
            </w:r>
          </w:p>
        </w:tc>
        <w:tc>
          <w:tcPr/>
          <w:p>
            <w:pPr>
              <w:pStyle w:val="Compact"/>
            </w:pPr>
            <w:r>
              <w:t xml:space="preserve">Capítulo 12</w:t>
            </w:r>
          </w:p>
        </w:tc>
        <w:tc>
          <w:tcPr/>
          <w:p>
            <w:pPr>
              <w:pStyle w:val="Compact"/>
            </w:pPr>
            <w:r>
              <w:t xml:space="preserve">Trimestral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Dados operacionais</w:t>
            </w:r>
          </w:p>
        </w:tc>
        <w:tc>
          <w:tcPr/>
          <w:p>
            <w:pPr>
              <w:pStyle w:val="Compact"/>
            </w:pPr>
            <w:r>
              <w:t xml:space="preserve">Morada, horário, contactos</w:t>
            </w:r>
          </w:p>
        </w:tc>
        <w:tc>
          <w:tcPr/>
          <w:p>
            <w:pPr>
              <w:pStyle w:val="Compact"/>
            </w:pPr>
            <w:r>
              <w:t xml:space="preserve">Sempre que mudarem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Objeções e respostas</w:t>
            </w:r>
          </w:p>
        </w:tc>
        <w:tc>
          <w:tcPr/>
          <w:p>
            <w:pPr>
              <w:pStyle w:val="Compact"/>
            </w:pPr>
            <w:r>
              <w:t xml:space="preserve">Este capítulo</w:t>
            </w:r>
          </w:p>
        </w:tc>
        <w:tc>
          <w:tcPr/>
          <w:p>
            <w:pPr>
              <w:pStyle w:val="Compact"/>
            </w:pPr>
            <w:r>
              <w:t xml:space="preserve">Trimestral</w:t>
            </w:r>
          </w:p>
        </w:tc>
      </w:tr>
    </w:tbl>
    <w:bookmarkEnd w:id="101"/>
    <w:bookmarkStart w:id="102" w:name="objeções-e-respostas-aprovadas"/>
    <w:p>
      <w:pPr>
        <w:pStyle w:val="Heading2"/>
      </w:pPr>
      <w:r>
        <w:t xml:space="preserve">Objeções e respostas aprovadas</w:t>
      </w:r>
    </w:p>
    <w:p>
      <w:pPr>
        <w:pStyle w:val="FirstParagraph"/>
      </w:pPr>
      <w:r>
        <w:rPr>
          <w:b/>
          <w:bCs/>
        </w:rPr>
        <w:t xml:space="preserve">“É caro.”</w:t>
      </w:r>
      <w:r>
        <w:t xml:space="preserve"> </w:t>
      </w:r>
      <w:r>
        <w:t xml:space="preserve">— Trabalhamos com equipamento original, calibração individual e relatório escrito. O valor reflete o método, não o tempo de máquina. O enquadramento técnico é feito antes de qualquer compromisso.</w:t>
      </w:r>
    </w:p>
    <w:p>
      <w:pPr>
        <w:pStyle w:val="BodyText"/>
      </w:pPr>
      <w:r>
        <w:rPr>
          <w:b/>
          <w:bCs/>
        </w:rPr>
        <w:t xml:space="preserve">“Vi mais barato noutro sítio.”</w:t>
      </w:r>
      <w:r>
        <w:t xml:space="preserve"> </w:t>
      </w:r>
      <w:r>
        <w:t xml:space="preserve">— Existem serviços mais baratos. Normalmente usam ficheiros genéricos e não arquivam o original da viatura. Não é o mesmo trabalho.</w:t>
      </w:r>
    </w:p>
    <w:p>
      <w:pPr>
        <w:pStyle w:val="BodyText"/>
      </w:pPr>
      <w:r>
        <w:rPr>
          <w:b/>
          <w:bCs/>
        </w:rPr>
        <w:t xml:space="preserve">“Isto estraga o motor?”</w:t>
      </w:r>
      <w:r>
        <w:t xml:space="preserve"> </w:t>
      </w:r>
      <w:r>
        <w:t xml:space="preserve">— Não, quando é feito dentro das margens mecânicas. Recusamos o trabalho quando o estado da viatura não o permite.</w:t>
      </w:r>
    </w:p>
    <w:p>
      <w:pPr>
        <w:pStyle w:val="BodyText"/>
      </w:pPr>
      <w:r>
        <w:rPr>
          <w:b/>
          <w:bCs/>
        </w:rPr>
        <w:t xml:space="preserve">“Perco a garantia?”</w:t>
      </w:r>
      <w:r>
        <w:t xml:space="preserve"> </w:t>
      </w:r>
      <w:r>
        <w:t xml:space="preserve">— Qualquer alteração ao software de origem pode ter implicações na garantia do construtor. Explicamos o enquadramento antes de avançar e o ficheiro original fica arquivado.</w:t>
      </w:r>
    </w:p>
    <w:p>
      <w:pPr>
        <w:pStyle w:val="BodyText"/>
      </w:pPr>
      <w:r>
        <w:rPr>
          <w:b/>
          <w:bCs/>
        </w:rPr>
        <w:t xml:space="preserve">“Já fui a três oficinas e ninguém resolveu.”</w:t>
      </w:r>
      <w:r>
        <w:t xml:space="preserve"> </w:t>
      </w:r>
      <w:r>
        <w:t xml:space="preserve">— É o tipo de caso que recebemos com frequência. O diagnóstico avançado procura a causa, não o código. Entregamos o resultado por escrito mesmo que a reparação seja feita noutro local.</w:t>
      </w:r>
    </w:p>
    <w:p>
      <w:pPr>
        <w:pStyle w:val="BodyText"/>
      </w:pPr>
      <w:r>
        <w:rPr>
          <w:b/>
          <w:bCs/>
        </w:rPr>
        <w:t xml:space="preserve">“Conseguem hoje?”</w:t>
      </w:r>
      <w:r>
        <w:t xml:space="preserve"> </w:t>
      </w:r>
      <w:r>
        <w:t xml:space="preserve">— Depende da agenda e do tipo de intervenção. Um Stage 1 demora entre duas e quatro horas. Recolho os dados e a equipa confirma a disponibilidade.</w:t>
      </w:r>
    </w:p>
    <w:bookmarkEnd w:id="102"/>
    <w:bookmarkStart w:id="103" w:name="estrutura-de-registo-de-caso"/>
    <w:p>
      <w:pPr>
        <w:pStyle w:val="Heading2"/>
      </w:pPr>
      <w:r>
        <w:t xml:space="preserve">Estrutura de registo de caso</w:t>
      </w:r>
    </w:p>
    <w:p>
      <w:pPr>
        <w:pStyle w:val="FirstParagraph"/>
      </w:pPr>
      <w:r>
        <w:t xml:space="preserve">Cada conversa termina com um registo estruturado: tipo de cliente, marca, modelo, motor e potência, ano, serviço pretendido, sintoma descrito, urgência, contacto e resumo em duas linhas. Este registo é o que a equipa recebe.</w:t>
      </w:r>
    </w:p>
    <w:bookmarkEnd w:id="103"/>
    <w:bookmarkEnd w:id="104"/>
    <w:bookmarkStart w:id="109" w:name="integração-futura-com-whatsapp"/>
    <w:p>
      <w:pPr>
        <w:pStyle w:val="Heading1"/>
      </w:pPr>
      <w:r>
        <w:t xml:space="preserve">16. Integração futura com WhatsApp</w:t>
      </w:r>
    </w:p>
    <w:p>
      <w:pPr>
        <w:pStyle w:val="FirstParagraph"/>
      </w:pPr>
      <w:r>
        <w:t xml:space="preserve">O WhatsApp é o canal natural do público-alvo em Portugal, particularmente do segmento profissional. A integração está definida para a fase 2 do roadmap.</w:t>
      </w:r>
    </w:p>
    <w:bookmarkStart w:id="105" w:name="arquitetura"/>
    <w:p>
      <w:pPr>
        <w:pStyle w:val="Heading2"/>
      </w:pPr>
      <w:r>
        <w:t xml:space="preserve">Arquitetura</w:t>
      </w:r>
    </w:p>
    <w:p>
      <w:pPr>
        <w:pStyle w:val="Compact"/>
        <w:numPr>
          <w:ilvl w:val="0"/>
          <w:numId w:val="1022"/>
        </w:numPr>
      </w:pPr>
      <w:r>
        <w:t xml:space="preserve">Conta WhatsApp Business API associada ao número oficial da empresa.</w:t>
      </w:r>
    </w:p>
    <w:p>
      <w:pPr>
        <w:pStyle w:val="Compact"/>
        <w:numPr>
          <w:ilvl w:val="0"/>
          <w:numId w:val="1022"/>
        </w:numPr>
      </w:pPr>
      <w:r>
        <w:t xml:space="preserve">Camada de receção que normaliza mensagens e as encaminha para o mesmo agente do website.</w:t>
      </w:r>
    </w:p>
    <w:p>
      <w:pPr>
        <w:pStyle w:val="Compact"/>
        <w:numPr>
          <w:ilvl w:val="0"/>
          <w:numId w:val="1022"/>
        </w:numPr>
      </w:pPr>
      <w:r>
        <w:t xml:space="preserve">Base de conhecimento partilhada: um agente, dois canais.</w:t>
      </w:r>
    </w:p>
    <w:p>
      <w:pPr>
        <w:pStyle w:val="Compact"/>
        <w:numPr>
          <w:ilvl w:val="0"/>
          <w:numId w:val="1022"/>
        </w:numPr>
      </w:pPr>
      <w:r>
        <w:t xml:space="preserve">Histórico por número de telefone, com continuidade entre conversas.</w:t>
      </w:r>
    </w:p>
    <w:p>
      <w:pPr>
        <w:pStyle w:val="Compact"/>
        <w:numPr>
          <w:ilvl w:val="0"/>
          <w:numId w:val="1022"/>
        </w:numPr>
      </w:pPr>
      <w:r>
        <w:t xml:space="preserve">Painel interno para a equipa assumir a conversa a qualquer momento.</w:t>
      </w:r>
    </w:p>
    <w:bookmarkEnd w:id="105"/>
    <w:bookmarkStart w:id="106" w:name="regras-de-transferência-para-humano"/>
    <w:p>
      <w:pPr>
        <w:pStyle w:val="Heading2"/>
      </w:pPr>
      <w:r>
        <w:t xml:space="preserve">Regras de transferência para humano</w:t>
      </w:r>
    </w:p>
    <w:p>
      <w:pPr>
        <w:pStyle w:val="Compact"/>
        <w:numPr>
          <w:ilvl w:val="0"/>
          <w:numId w:val="1023"/>
        </w:numPr>
      </w:pPr>
      <w:r>
        <w:t xml:space="preserve">Pedido explícito de falar com uma pessoa.</w:t>
      </w:r>
    </w:p>
    <w:p>
      <w:pPr>
        <w:pStyle w:val="Compact"/>
        <w:numPr>
          <w:ilvl w:val="0"/>
          <w:numId w:val="1023"/>
        </w:numPr>
      </w:pPr>
      <w:r>
        <w:t xml:space="preserve">Reclamação, questão de garantia ou urgência declarada.</w:t>
      </w:r>
    </w:p>
    <w:p>
      <w:pPr>
        <w:pStyle w:val="Compact"/>
        <w:numPr>
          <w:ilvl w:val="0"/>
          <w:numId w:val="1023"/>
        </w:numPr>
      </w:pPr>
      <w:r>
        <w:t xml:space="preserve">Caso profissional com viatura imobilizada.</w:t>
      </w:r>
    </w:p>
    <w:p>
      <w:pPr>
        <w:pStyle w:val="Compact"/>
        <w:numPr>
          <w:ilvl w:val="0"/>
          <w:numId w:val="1023"/>
        </w:numPr>
      </w:pPr>
      <w:r>
        <w:t xml:space="preserve">Três trocas sem progresso na qualificação.</w:t>
      </w:r>
    </w:p>
    <w:p>
      <w:pPr>
        <w:pStyle w:val="Compact"/>
        <w:numPr>
          <w:ilvl w:val="0"/>
          <w:numId w:val="1023"/>
        </w:numPr>
      </w:pPr>
      <w:r>
        <w:t xml:space="preserve">Fora do horário: o agente recolhe os dados e informa o prazo de resposta.</w:t>
      </w:r>
    </w:p>
    <w:bookmarkEnd w:id="106"/>
    <w:bookmarkStart w:id="107" w:name="mensagens-tipo"/>
    <w:p>
      <w:pPr>
        <w:pStyle w:val="Heading2"/>
      </w:pPr>
      <w:r>
        <w:t xml:space="preserve">Mensagens-tipo</w:t>
      </w:r>
    </w:p>
    <w:p>
      <w:pPr>
        <w:pStyle w:val="FirstParagraph"/>
      </w:pPr>
      <w:r>
        <w:rPr>
          <w:b/>
          <w:bCs/>
        </w:rPr>
        <w:t xml:space="preserve">Boas-vindas</w:t>
      </w:r>
      <w:r>
        <w:t xml:space="preserve"> </w:t>
      </w:r>
      <w:r>
        <w:t xml:space="preserve">— JS Potência &amp; Performance. Sou o assistente técnico. Diga-me em que posso ajudar: uma avaria, uma otimização, ou apoio profissional?</w:t>
      </w:r>
    </w:p>
    <w:p>
      <w:pPr>
        <w:pStyle w:val="BodyText"/>
      </w:pPr>
      <w:r>
        <w:rPr>
          <w:b/>
          <w:bCs/>
        </w:rPr>
        <w:t xml:space="preserve">Recolha</w:t>
      </w:r>
      <w:r>
        <w:t xml:space="preserve"> </w:t>
      </w:r>
      <w:r>
        <w:t xml:space="preserve">— Para enquadrar corretamente: qual é a marca, modelo, motor e ano da viatura?</w:t>
      </w:r>
    </w:p>
    <w:p>
      <w:pPr>
        <w:pStyle w:val="BodyText"/>
      </w:pPr>
      <w:r>
        <w:rPr>
          <w:b/>
          <w:bCs/>
        </w:rPr>
        <w:t xml:space="preserve">Fora de horas</w:t>
      </w:r>
      <w:r>
        <w:t xml:space="preserve"> </w:t>
      </w:r>
      <w:r>
        <w:t xml:space="preserve">— Estamos fechados neste momento. Registei o seu pedido e a equipa responde na próxima manhã útil.</w:t>
      </w:r>
    </w:p>
    <w:p>
      <w:pPr>
        <w:pStyle w:val="BodyText"/>
      </w:pPr>
      <w:r>
        <w:rPr>
          <w:b/>
          <w:bCs/>
        </w:rPr>
        <w:t xml:space="preserve">Transferência</w:t>
      </w:r>
      <w:r>
        <w:t xml:space="preserve"> </w:t>
      </w:r>
      <w:r>
        <w:t xml:space="preserve">— Vou passar a conversa a um técnico da equipa. Recebe resposta neste mesmo número.</w:t>
      </w:r>
    </w:p>
    <w:p>
      <w:pPr>
        <w:pStyle w:val="BodyText"/>
      </w:pPr>
      <w:r>
        <w:rPr>
          <w:b/>
          <w:bCs/>
        </w:rPr>
        <w:t xml:space="preserve">Confirmação de marcação</w:t>
      </w:r>
      <w:r>
        <w:t xml:space="preserve"> </w:t>
      </w:r>
      <w:r>
        <w:t xml:space="preserve">— Marcação registada para {data} às {hora}, em Corroios, Seixal. Traga a documentação da viatura.</w:t>
      </w:r>
    </w:p>
    <w:bookmarkEnd w:id="107"/>
    <w:bookmarkStart w:id="108" w:name="requisitos-operacionais"/>
    <w:p>
      <w:pPr>
        <w:pStyle w:val="Heading2"/>
      </w:pPr>
      <w:r>
        <w:t xml:space="preserve">Requisitos operacionais</w:t>
      </w:r>
    </w:p>
    <w:p>
      <w:pPr>
        <w:pStyle w:val="Compact"/>
        <w:numPr>
          <w:ilvl w:val="0"/>
          <w:numId w:val="1024"/>
        </w:numPr>
      </w:pPr>
      <w:r>
        <w:t xml:space="preserve">Consentimento explícito para contacto por WhatsApp no formulário do website.</w:t>
      </w:r>
    </w:p>
    <w:p>
      <w:pPr>
        <w:pStyle w:val="Compact"/>
        <w:numPr>
          <w:ilvl w:val="0"/>
          <w:numId w:val="1024"/>
        </w:numPr>
      </w:pPr>
      <w:r>
        <w:t xml:space="preserve">Política de privacidade atualizada com o tratamento de dados no canal.</w:t>
      </w:r>
    </w:p>
    <w:p>
      <w:pPr>
        <w:pStyle w:val="Compact"/>
        <w:numPr>
          <w:ilvl w:val="0"/>
          <w:numId w:val="1024"/>
        </w:numPr>
      </w:pPr>
      <w:r>
        <w:t xml:space="preserve">Tempo máximo de primeira resposta humana: quatro horas úteis.</w:t>
      </w:r>
    </w:p>
    <w:p>
      <w:pPr>
        <w:pStyle w:val="Compact"/>
        <w:numPr>
          <w:ilvl w:val="0"/>
          <w:numId w:val="1024"/>
        </w:numPr>
      </w:pPr>
      <w:r>
        <w:t xml:space="preserve">Revisão mensal das conversas para alimentar a base de conhecimento.</w:t>
      </w:r>
    </w:p>
    <w:bookmarkEnd w:id="108"/>
    <w:bookmarkEnd w:id="109"/>
    <w:bookmarkStart w:id="114" w:name="roadmap-de-evolução"/>
    <w:p>
      <w:pPr>
        <w:pStyle w:val="Heading1"/>
      </w:pPr>
      <w:r>
        <w:t xml:space="preserve">17. Roadmap de evolução</w:t>
      </w:r>
    </w:p>
    <w:bookmarkStart w:id="110" w:name="v1-fundação-concluída-com-este-framework"/>
    <w:p>
      <w:pPr>
        <w:pStyle w:val="Heading2"/>
      </w:pPr>
      <w:r>
        <w:t xml:space="preserve">V1 — Fundação (concluída com este framework)</w:t>
      </w:r>
    </w:p>
    <w:p>
      <w:pPr>
        <w:pStyle w:val="Compact"/>
        <w:numPr>
          <w:ilvl w:val="0"/>
          <w:numId w:val="1025"/>
        </w:numPr>
      </w:pPr>
      <w:r>
        <w:t xml:space="preserve">Identidade, posicionamento, voz e sistema de design definidos.</w:t>
      </w:r>
    </w:p>
    <w:p>
      <w:pPr>
        <w:pStyle w:val="Compact"/>
        <w:numPr>
          <w:ilvl w:val="0"/>
          <w:numId w:val="1025"/>
        </w:numPr>
      </w:pPr>
      <w:r>
        <w:t xml:space="preserve">Website premium completo com dez rotas e textos finais.</w:t>
      </w:r>
    </w:p>
    <w:p>
      <w:pPr>
        <w:pStyle w:val="Compact"/>
        <w:numPr>
          <w:ilvl w:val="0"/>
          <w:numId w:val="1025"/>
        </w:numPr>
      </w:pPr>
      <w:r>
        <w:t xml:space="preserve">SEO técnico, dados estruturados e conteúdo local.</w:t>
      </w:r>
    </w:p>
    <w:p>
      <w:pPr>
        <w:pStyle w:val="Compact"/>
        <w:numPr>
          <w:ilvl w:val="0"/>
          <w:numId w:val="1025"/>
        </w:numPr>
      </w:pPr>
      <w:r>
        <w:t xml:space="preserve">Formulário de orçamento com qualificação.</w:t>
      </w:r>
    </w:p>
    <w:p>
      <w:pPr>
        <w:pStyle w:val="Compact"/>
        <w:numPr>
          <w:ilvl w:val="0"/>
          <w:numId w:val="1025"/>
        </w:numPr>
      </w:pPr>
      <w:r>
        <w:t xml:space="preserve">Documento oficial navegável e transferível.</w:t>
      </w:r>
    </w:p>
    <w:bookmarkEnd w:id="110"/>
    <w:bookmarkStart w:id="111" w:name="v2-operação-1-a-3-meses"/>
    <w:p>
      <w:pPr>
        <w:pStyle w:val="Heading2"/>
      </w:pPr>
      <w:r>
        <w:t xml:space="preserve">V2 — Operação (1 a 3 meses)</w:t>
      </w:r>
    </w:p>
    <w:p>
      <w:pPr>
        <w:pStyle w:val="Compact"/>
        <w:numPr>
          <w:ilvl w:val="0"/>
          <w:numId w:val="1026"/>
        </w:numPr>
      </w:pPr>
      <w:r>
        <w:t xml:space="preserve">Base de dados de pedidos com notificação por email à equipa.</w:t>
      </w:r>
    </w:p>
    <w:p>
      <w:pPr>
        <w:pStyle w:val="Compact"/>
        <w:numPr>
          <w:ilvl w:val="0"/>
          <w:numId w:val="1026"/>
        </w:numPr>
      </w:pPr>
      <w:r>
        <w:t xml:space="preserve">Agente de IA no website, com a base de conhecimento deste documento.</w:t>
      </w:r>
    </w:p>
    <w:p>
      <w:pPr>
        <w:pStyle w:val="Compact"/>
        <w:numPr>
          <w:ilvl w:val="0"/>
          <w:numId w:val="1026"/>
        </w:numPr>
      </w:pPr>
      <w:r>
        <w:t xml:space="preserve">Integração WhatsApp Business com agente partilhado.</w:t>
      </w:r>
    </w:p>
    <w:p>
      <w:pPr>
        <w:pStyle w:val="Compact"/>
        <w:numPr>
          <w:ilvl w:val="0"/>
          <w:numId w:val="1026"/>
        </w:numPr>
      </w:pPr>
      <w:r>
        <w:t xml:space="preserve">Página de casos reais com registos de dados e fotografia própria.</w:t>
      </w:r>
    </w:p>
    <w:p>
      <w:pPr>
        <w:pStyle w:val="Compact"/>
        <w:numPr>
          <w:ilvl w:val="0"/>
          <w:numId w:val="1026"/>
        </w:numPr>
      </w:pPr>
      <w:r>
        <w:t xml:space="preserve">Recolha estruturada de avaliações.</w:t>
      </w:r>
    </w:p>
    <w:bookmarkEnd w:id="111"/>
    <w:bookmarkStart w:id="112" w:name="v3-escala-3-a-9-meses"/>
    <w:p>
      <w:pPr>
        <w:pStyle w:val="Heading2"/>
      </w:pPr>
      <w:r>
        <w:t xml:space="preserve">V3 — Escala (3 a 9 meses)</w:t>
      </w:r>
    </w:p>
    <w:p>
      <w:pPr>
        <w:pStyle w:val="Compact"/>
        <w:numPr>
          <w:ilvl w:val="0"/>
          <w:numId w:val="1027"/>
        </w:numPr>
      </w:pPr>
      <w:r>
        <w:t xml:space="preserve">Área reservada a profissionais, com histórico de trabalhos e pedidos recorrentes.</w:t>
      </w:r>
    </w:p>
    <w:p>
      <w:pPr>
        <w:pStyle w:val="Compact"/>
        <w:numPr>
          <w:ilvl w:val="0"/>
          <w:numId w:val="1027"/>
        </w:numPr>
      </w:pPr>
      <w:r>
        <w:t xml:space="preserve">Marcação online com disponibilidade real da oficina.</w:t>
      </w:r>
    </w:p>
    <w:p>
      <w:pPr>
        <w:pStyle w:val="Compact"/>
        <w:numPr>
          <w:ilvl w:val="0"/>
          <w:numId w:val="1027"/>
        </w:numPr>
      </w:pPr>
      <w:r>
        <w:t xml:space="preserve">Conteúdo editorial técnico para captação de pesquisa informacional.</w:t>
      </w:r>
    </w:p>
    <w:p>
      <w:pPr>
        <w:pStyle w:val="Compact"/>
        <w:numPr>
          <w:ilvl w:val="0"/>
          <w:numId w:val="1027"/>
        </w:numPr>
      </w:pPr>
      <w:r>
        <w:t xml:space="preserve">Substituição da fotografia genérica por produção própria na oficina.</w:t>
      </w:r>
    </w:p>
    <w:p>
      <w:pPr>
        <w:pStyle w:val="Compact"/>
        <w:numPr>
          <w:ilvl w:val="0"/>
          <w:numId w:val="1027"/>
        </w:numPr>
      </w:pPr>
      <w:r>
        <w:t xml:space="preserve">Painel interno de métricas de conversão e origem de pedidos.</w:t>
      </w:r>
    </w:p>
    <w:bookmarkEnd w:id="112"/>
    <w:bookmarkStart w:id="113" w:name="critérios-de-avanço"/>
    <w:p>
      <w:pPr>
        <w:pStyle w:val="Heading2"/>
      </w:pPr>
      <w:r>
        <w:t xml:space="preserve">Critérios de avanço</w:t>
      </w:r>
    </w:p>
    <w:p>
      <w:pPr>
        <w:pStyle w:val="FirstParagraph"/>
      </w:pPr>
      <w:r>
        <w:t xml:space="preserve">Cada fase só avança quando a anterior atinge as suas métricas. Não se automatiza atendimento antes de haver volume; não se abre área profissional antes de haver profissionais recorrentes.</w:t>
      </w:r>
    </w:p>
    <w:bookmarkEnd w:id="113"/>
    <w:bookmarkEnd w:id="114"/>
    <w:bookmarkStart w:id="118" w:name="anexos"/>
    <w:p>
      <w:pPr>
        <w:pStyle w:val="Heading1"/>
      </w:pPr>
      <w:r>
        <w:t xml:space="preserve">18. Anexos</w:t>
      </w:r>
    </w:p>
    <w:bookmarkStart w:id="115" w:name="a.-checklist-de-implementação"/>
    <w:p>
      <w:pPr>
        <w:pStyle w:val="Heading2"/>
      </w:pPr>
      <w:r>
        <w:t xml:space="preserve">A. Checklist de implementação</w:t>
      </w:r>
    </w:p>
    <w:p>
      <w:pPr>
        <w:pStyle w:val="Compact"/>
        <w:numPr>
          <w:ilvl w:val="0"/>
          <w:numId w:val="1028"/>
        </w:numPr>
      </w:pPr>
      <w:r>
        <w:t xml:space="preserve">Tokens de cor, tipografia e espaçamento aplicados no sistema, sem cores fora do sistema.</w:t>
      </w:r>
    </w:p>
    <w:p>
      <w:pPr>
        <w:pStyle w:val="Compact"/>
        <w:numPr>
          <w:ilvl w:val="0"/>
          <w:numId w:val="1028"/>
        </w:numPr>
      </w:pPr>
      <w:r>
        <w:t xml:space="preserve">Tipografia Oswald e Manrope carregada com display swap e pré-ligação.</w:t>
      </w:r>
    </w:p>
    <w:p>
      <w:pPr>
        <w:pStyle w:val="Compact"/>
        <w:numPr>
          <w:ilvl w:val="0"/>
          <w:numId w:val="1028"/>
        </w:numPr>
      </w:pPr>
      <w:r>
        <w:t xml:space="preserve">Dez rotas publicadas com títulos e descrições próprios.</w:t>
      </w:r>
    </w:p>
    <w:p>
      <w:pPr>
        <w:pStyle w:val="Compact"/>
        <w:numPr>
          <w:ilvl w:val="0"/>
          <w:numId w:val="1028"/>
        </w:numPr>
      </w:pPr>
      <w:r>
        <w:t xml:space="preserve">Dados estruturados LocalBusiness, Service, FAQPage e BreadcrumbList validados.</w:t>
      </w:r>
    </w:p>
    <w:p>
      <w:pPr>
        <w:pStyle w:val="Compact"/>
        <w:numPr>
          <w:ilvl w:val="0"/>
          <w:numId w:val="1028"/>
        </w:numPr>
      </w:pPr>
      <w:r>
        <w:t xml:space="preserve">Imagens com dimensões declaradas, texto alternativo e carregamento diferido.</w:t>
      </w:r>
    </w:p>
    <w:p>
      <w:pPr>
        <w:pStyle w:val="Compact"/>
        <w:numPr>
          <w:ilvl w:val="0"/>
          <w:numId w:val="1028"/>
        </w:numPr>
      </w:pPr>
      <w:r>
        <w:t xml:space="preserve">Formulário com validação por campo e mensagem de confirmação.</w:t>
      </w:r>
    </w:p>
    <w:p>
      <w:pPr>
        <w:pStyle w:val="Compact"/>
        <w:numPr>
          <w:ilvl w:val="0"/>
          <w:numId w:val="1028"/>
        </w:numPr>
      </w:pPr>
      <w:r>
        <w:t xml:space="preserve">Indicador de foco visível em todos os elementos interativos.</w:t>
      </w:r>
    </w:p>
    <w:p>
      <w:pPr>
        <w:pStyle w:val="Compact"/>
        <w:numPr>
          <w:ilvl w:val="0"/>
          <w:numId w:val="1028"/>
        </w:numPr>
      </w:pPr>
      <w:r>
        <w:t xml:space="preserve">Verificação em ecrãs de 390px, 768px, 1280px e 1920px.</w:t>
      </w:r>
    </w:p>
    <w:p>
      <w:pPr>
        <w:pStyle w:val="Compact"/>
        <w:numPr>
          <w:ilvl w:val="0"/>
          <w:numId w:val="1028"/>
        </w:numPr>
      </w:pPr>
      <w:r>
        <w:t xml:space="preserve">robots.txt e sitemap.xml atualizados.</w:t>
      </w:r>
    </w:p>
    <w:bookmarkEnd w:id="115"/>
    <w:bookmarkStart w:id="116" w:name="b.-tokens-em-código"/>
    <w:p>
      <w:pPr>
        <w:pStyle w:val="Heading2"/>
      </w:pPr>
      <w:r>
        <w:t xml:space="preserve">B. Tokens em código</w:t>
      </w:r>
    </w:p>
    <w:p>
      <w:pPr>
        <w:pStyle w:val="FirstParagraph"/>
      </w:pPr>
      <w:r>
        <w:t xml:space="preserve">Os tokens oficiais estão definidos em src/styles.css, em formato oklch, e mapeados para utilitários através de</w:t>
      </w:r>
      <w:r>
        <w:t xml:space="preserve"> </w:t>
      </w:r>
      <w:r>
        <w:t xml:space="preserve">@theme</w:t>
      </w:r>
      <w:r>
        <w:t xml:space="preserve"> </w:t>
      </w:r>
      <w:r>
        <w:t xml:space="preserve">inline. Nenhum componente deve declarar cor fora deste ficheiro. Os utilitários próprios da marca são: kicker, num, panel, grid-tech e reveal.</w:t>
      </w:r>
    </w:p>
    <w:bookmarkEnd w:id="116"/>
    <w:bookmarkStart w:id="117" w:name="c.-governação-do-documento"/>
    <w:p>
      <w:pPr>
        <w:pStyle w:val="Heading2"/>
      </w:pPr>
      <w:r>
        <w:t xml:space="preserve">C. Governação do documento</w:t>
      </w:r>
    </w:p>
    <w:p>
      <w:pPr>
        <w:pStyle w:val="FirstParagraph"/>
      </w:pPr>
      <w:r>
        <w:t xml:space="preserve">Este documento é a fonte única de verdade da marca. Qualquer alteração ao website, ao agente de IA ou à comunicação deve ser precedida de atualização deste documento e do incremento da sua versão. Revisão obrigatória a cada seis meses.</w:t>
      </w:r>
    </w:p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2026-08-03T01:55:17Z</dcterms:created>
  <dcterms:modified xsi:type="dcterms:W3CDTF">2026-08-03T01:55:17Z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